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F6" w:rsidRPr="006C5DF6" w:rsidRDefault="00705F96" w:rsidP="00267291">
      <w:pPr>
        <w:tabs>
          <w:tab w:val="left" w:pos="8640"/>
        </w:tabs>
        <w:contextualSpacing/>
        <w:jc w:val="center"/>
        <w:rPr>
          <w:rFonts w:ascii="Baskerville Old Face" w:hAnsi="Baskerville Old Face"/>
          <w:b/>
          <w:sz w:val="28"/>
          <w:szCs w:val="28"/>
        </w:rPr>
      </w:pPr>
      <w:r>
        <w:rPr>
          <w:rFonts w:ascii="Baskerville Old Face" w:hAnsi="Baskerville Old Face"/>
          <w:b/>
          <w:sz w:val="28"/>
          <w:szCs w:val="28"/>
        </w:rPr>
        <w:t xml:space="preserve">  </w:t>
      </w:r>
      <w:r w:rsidR="006C5DF6" w:rsidRPr="006C5DF6">
        <w:rPr>
          <w:rFonts w:ascii="Baskerville Old Face" w:hAnsi="Baskerville Old Face"/>
          <w:b/>
          <w:sz w:val="28"/>
          <w:szCs w:val="28"/>
        </w:rPr>
        <w:t>Jim Englert</w:t>
      </w:r>
    </w:p>
    <w:p w:rsidR="006C5DF6" w:rsidRPr="006C5DF6" w:rsidRDefault="006C5DF6" w:rsidP="00267291">
      <w:pPr>
        <w:tabs>
          <w:tab w:val="left" w:pos="8640"/>
        </w:tabs>
        <w:contextualSpacing/>
        <w:jc w:val="center"/>
        <w:rPr>
          <w:rFonts w:ascii="Baskerville Old Face" w:hAnsi="Baskerville Old Face"/>
          <w:b/>
          <w:sz w:val="28"/>
          <w:szCs w:val="28"/>
        </w:rPr>
      </w:pPr>
      <w:r w:rsidRPr="006C5DF6">
        <w:rPr>
          <w:rFonts w:ascii="Baskerville Old Face" w:hAnsi="Baskerville Old Face"/>
          <w:b/>
          <w:sz w:val="28"/>
          <w:szCs w:val="28"/>
        </w:rPr>
        <w:t>P.O. Box 802</w:t>
      </w:r>
    </w:p>
    <w:p w:rsidR="006C5DF6" w:rsidRPr="006C5DF6" w:rsidRDefault="006C5DF6" w:rsidP="00267291">
      <w:pPr>
        <w:tabs>
          <w:tab w:val="left" w:pos="8640"/>
        </w:tabs>
        <w:jc w:val="center"/>
        <w:rPr>
          <w:rFonts w:ascii="Baskerville Old Face" w:hAnsi="Baskerville Old Face"/>
          <w:b/>
          <w:sz w:val="28"/>
          <w:szCs w:val="28"/>
        </w:rPr>
      </w:pPr>
      <w:r w:rsidRPr="006C5DF6">
        <w:rPr>
          <w:rFonts w:ascii="Baskerville Old Face" w:hAnsi="Baskerville Old Face"/>
          <w:b/>
          <w:sz w:val="28"/>
          <w:szCs w:val="28"/>
        </w:rPr>
        <w:t>Mankato MN  56002</w:t>
      </w:r>
    </w:p>
    <w:p w:rsidR="006C5DF6" w:rsidRDefault="0039522F" w:rsidP="00267291">
      <w:pPr>
        <w:tabs>
          <w:tab w:val="left" w:pos="8640"/>
        </w:tabs>
        <w:contextualSpacing/>
        <w:jc w:val="right"/>
        <w:rPr>
          <w:rFonts w:ascii="Book Antiqua" w:hAnsi="Book Antiqua"/>
        </w:rPr>
      </w:pPr>
      <w:r>
        <w:rPr>
          <w:rFonts w:ascii="Book Antiqua" w:hAnsi="Book Antiqua"/>
        </w:rPr>
        <w:t>May 5</w:t>
      </w:r>
      <w:r w:rsidR="006C5DF6">
        <w:rPr>
          <w:rFonts w:ascii="Book Antiqua" w:hAnsi="Book Antiqua"/>
        </w:rPr>
        <w:t>, 2012</w:t>
      </w:r>
    </w:p>
    <w:p w:rsidR="006C5DF6" w:rsidRDefault="006C5DF6" w:rsidP="00267291">
      <w:pPr>
        <w:tabs>
          <w:tab w:val="left" w:pos="8640"/>
        </w:tabs>
        <w:contextualSpacing/>
        <w:rPr>
          <w:rFonts w:ascii="Book Antiqua" w:hAnsi="Book Antiqua"/>
        </w:rPr>
      </w:pPr>
      <w:r>
        <w:rPr>
          <w:rFonts w:ascii="Book Antiqua" w:hAnsi="Book Antiqua"/>
        </w:rPr>
        <w:t>The Most Reverend John Nienstedt</w:t>
      </w:r>
    </w:p>
    <w:p w:rsidR="006C5DF6" w:rsidRDefault="009C0A68" w:rsidP="00267291">
      <w:pPr>
        <w:tabs>
          <w:tab w:val="left" w:pos="8640"/>
        </w:tabs>
        <w:contextualSpacing/>
        <w:rPr>
          <w:rFonts w:ascii="Book Antiqua" w:hAnsi="Book Antiqua"/>
        </w:rPr>
      </w:pPr>
      <w:r>
        <w:rPr>
          <w:rFonts w:ascii="Book Antiqua" w:hAnsi="Book Antiqua"/>
        </w:rPr>
        <w:t>226 Summit Avenue</w:t>
      </w:r>
    </w:p>
    <w:p w:rsidR="006C5DF6" w:rsidRDefault="009C0A68" w:rsidP="00267291">
      <w:pPr>
        <w:tabs>
          <w:tab w:val="left" w:pos="8640"/>
        </w:tabs>
        <w:rPr>
          <w:rFonts w:ascii="Book Antiqua" w:hAnsi="Book Antiqua"/>
        </w:rPr>
      </w:pPr>
      <w:r>
        <w:rPr>
          <w:rFonts w:ascii="Book Antiqua" w:hAnsi="Book Antiqua"/>
        </w:rPr>
        <w:t>St. Paul MN  55102</w:t>
      </w:r>
    </w:p>
    <w:p w:rsidR="006C5DF6" w:rsidRDefault="006C5DF6" w:rsidP="00267291">
      <w:pPr>
        <w:tabs>
          <w:tab w:val="left" w:pos="8640"/>
        </w:tabs>
        <w:rPr>
          <w:rFonts w:ascii="Book Antiqua" w:hAnsi="Book Antiqua"/>
        </w:rPr>
      </w:pPr>
      <w:r>
        <w:rPr>
          <w:rFonts w:ascii="Book Antiqua" w:hAnsi="Book Antiqua"/>
        </w:rPr>
        <w:t>Dear Archbishop Nienstedt:</w:t>
      </w:r>
    </w:p>
    <w:p w:rsidR="00130413" w:rsidRDefault="007F0EA7" w:rsidP="00004C0B">
      <w:pPr>
        <w:tabs>
          <w:tab w:val="left" w:pos="8640"/>
        </w:tabs>
        <w:spacing w:after="120"/>
        <w:ind w:firstLine="720"/>
        <w:rPr>
          <w:rFonts w:ascii="Book Antiqua" w:hAnsi="Book Antiqua"/>
        </w:rPr>
      </w:pPr>
      <w:r w:rsidRPr="0015552E">
        <w:rPr>
          <w:rFonts w:ascii="Book Antiqua" w:hAnsi="Book Antiqua"/>
        </w:rPr>
        <w:t xml:space="preserve">Attempting to understand current controversy, </w:t>
      </w:r>
      <w:r w:rsidR="001D13B4" w:rsidRPr="0015552E">
        <w:rPr>
          <w:rFonts w:ascii="Book Antiqua" w:hAnsi="Book Antiqua"/>
        </w:rPr>
        <w:t xml:space="preserve">I have, for the first time, forayed through the conservative Catholic blogosphere, and found myself mired in a swamp of </w:t>
      </w:r>
      <w:r w:rsidR="00A17AAE" w:rsidRPr="0015552E">
        <w:rPr>
          <w:rFonts w:ascii="Book Antiqua" w:hAnsi="Book Antiqua"/>
        </w:rPr>
        <w:t>virtually</w:t>
      </w:r>
      <w:r w:rsidR="001D13B4" w:rsidRPr="0015552E">
        <w:rPr>
          <w:rFonts w:ascii="Book Antiqua" w:hAnsi="Book Antiqua"/>
        </w:rPr>
        <w:t xml:space="preserve"> Dantesque infernality.</w:t>
      </w:r>
      <w:r w:rsidR="000B614B" w:rsidRPr="0015552E">
        <w:rPr>
          <w:rFonts w:ascii="Book Antiqua" w:hAnsi="Book Antiqua"/>
        </w:rPr>
        <w:tab/>
      </w:r>
    </w:p>
    <w:p w:rsidR="000B614B" w:rsidRPr="00BC39C1" w:rsidRDefault="00130413" w:rsidP="00004C0B">
      <w:pPr>
        <w:tabs>
          <w:tab w:val="left" w:pos="720"/>
        </w:tabs>
        <w:spacing w:after="120"/>
        <w:contextualSpacing/>
        <w:rPr>
          <w:rFonts w:ascii="Book Antiqua" w:hAnsi="Book Antiqua"/>
          <w:sz w:val="20"/>
          <w:szCs w:val="20"/>
        </w:rPr>
      </w:pPr>
      <w:r>
        <w:rPr>
          <w:rFonts w:ascii="Book Antiqua" w:hAnsi="Book Antiqua"/>
        </w:rPr>
        <w:tab/>
      </w:r>
      <w:r w:rsidR="000B614B" w:rsidRPr="00BC39C1">
        <w:rPr>
          <w:rFonts w:ascii="Book Antiqua" w:hAnsi="Book Antiqua"/>
          <w:sz w:val="20"/>
          <w:szCs w:val="20"/>
        </w:rPr>
        <w:t>How many living now, chancellors of wrath,</w:t>
      </w:r>
    </w:p>
    <w:p w:rsidR="000B614B" w:rsidRPr="00BC39C1" w:rsidRDefault="003B4BE0" w:rsidP="00004C0B">
      <w:pPr>
        <w:tabs>
          <w:tab w:val="left" w:pos="8640"/>
        </w:tabs>
        <w:spacing w:after="120"/>
        <w:ind w:firstLine="1440"/>
        <w:contextualSpacing/>
        <w:rPr>
          <w:rFonts w:ascii="Book Antiqua" w:hAnsi="Book Antiqua"/>
          <w:sz w:val="20"/>
          <w:szCs w:val="20"/>
        </w:rPr>
      </w:pPr>
      <w:r w:rsidRPr="00BC39C1">
        <w:rPr>
          <w:rFonts w:ascii="Book Antiqua" w:hAnsi="Book Antiqua"/>
          <w:sz w:val="20"/>
          <w:szCs w:val="20"/>
        </w:rPr>
        <w:t>s</w:t>
      </w:r>
      <w:r w:rsidR="000B614B" w:rsidRPr="00BC39C1">
        <w:rPr>
          <w:rFonts w:ascii="Book Antiqua" w:hAnsi="Book Antiqua"/>
          <w:sz w:val="20"/>
          <w:szCs w:val="20"/>
        </w:rPr>
        <w:t>hall come to lie here yet in this pigmire,</w:t>
      </w:r>
    </w:p>
    <w:p w:rsidR="000B614B" w:rsidRPr="00BC39C1" w:rsidRDefault="00130413" w:rsidP="00004C0B">
      <w:pPr>
        <w:tabs>
          <w:tab w:val="left" w:pos="1440"/>
        </w:tabs>
        <w:spacing w:after="120"/>
        <w:rPr>
          <w:rFonts w:ascii="Book Antiqua" w:hAnsi="Book Antiqua"/>
          <w:sz w:val="20"/>
          <w:szCs w:val="20"/>
        </w:rPr>
      </w:pPr>
      <w:r w:rsidRPr="00BC39C1">
        <w:rPr>
          <w:rFonts w:ascii="Book Antiqua" w:hAnsi="Book Antiqua"/>
          <w:sz w:val="20"/>
          <w:szCs w:val="20"/>
        </w:rPr>
        <w:tab/>
      </w:r>
      <w:r w:rsidR="003B4BE0" w:rsidRPr="00BC39C1">
        <w:rPr>
          <w:rFonts w:ascii="Book Antiqua" w:hAnsi="Book Antiqua"/>
          <w:sz w:val="20"/>
          <w:szCs w:val="20"/>
        </w:rPr>
        <w:t>l</w:t>
      </w:r>
      <w:r w:rsidR="000B614B" w:rsidRPr="00BC39C1">
        <w:rPr>
          <w:rFonts w:ascii="Book Antiqua" w:hAnsi="Book Antiqua"/>
          <w:sz w:val="20"/>
          <w:szCs w:val="20"/>
        </w:rPr>
        <w:t>eaving a curse to be their aftermath!  (Canto VIII, 46-48)</w:t>
      </w:r>
    </w:p>
    <w:p w:rsidR="000F2131" w:rsidRPr="0015552E" w:rsidRDefault="000F2131" w:rsidP="00004C0B">
      <w:pPr>
        <w:tabs>
          <w:tab w:val="left" w:pos="8640"/>
        </w:tabs>
        <w:spacing w:after="120"/>
        <w:rPr>
          <w:rFonts w:ascii="Book Antiqua" w:hAnsi="Book Antiqua"/>
        </w:rPr>
      </w:pPr>
      <w:r w:rsidRPr="0015552E">
        <w:rPr>
          <w:rFonts w:ascii="Book Antiqua" w:hAnsi="Book Antiqua"/>
        </w:rPr>
        <w:t>And</w:t>
      </w:r>
    </w:p>
    <w:p w:rsidR="000F2131" w:rsidRPr="00BC39C1" w:rsidRDefault="000F2131" w:rsidP="00004C0B">
      <w:pPr>
        <w:spacing w:after="120"/>
        <w:contextualSpacing/>
        <w:rPr>
          <w:rFonts w:ascii="Book Antiqua" w:hAnsi="Book Antiqua"/>
          <w:sz w:val="20"/>
          <w:szCs w:val="20"/>
        </w:rPr>
      </w:pPr>
      <w:r w:rsidRPr="0015552E">
        <w:rPr>
          <w:rFonts w:ascii="Book Antiqua" w:hAnsi="Book Antiqua"/>
        </w:rPr>
        <w:tab/>
      </w:r>
      <w:r w:rsidRPr="00BC39C1">
        <w:rPr>
          <w:rFonts w:ascii="Book Antiqua" w:hAnsi="Book Antiqua"/>
          <w:sz w:val="20"/>
          <w:szCs w:val="20"/>
        </w:rPr>
        <w:t>Like a whirling windmill seen afar at twilight</w:t>
      </w:r>
    </w:p>
    <w:p w:rsidR="000F2131" w:rsidRPr="00BC39C1" w:rsidRDefault="003B4BE0" w:rsidP="00004C0B">
      <w:pPr>
        <w:tabs>
          <w:tab w:val="left" w:pos="1440"/>
        </w:tabs>
        <w:spacing w:after="120"/>
        <w:ind w:hanging="90"/>
        <w:contextualSpacing/>
        <w:rPr>
          <w:rFonts w:ascii="Book Antiqua" w:hAnsi="Book Antiqua"/>
          <w:sz w:val="20"/>
          <w:szCs w:val="20"/>
        </w:rPr>
      </w:pPr>
      <w:r w:rsidRPr="00BC39C1">
        <w:rPr>
          <w:rFonts w:ascii="Book Antiqua" w:hAnsi="Book Antiqua"/>
          <w:sz w:val="20"/>
          <w:szCs w:val="20"/>
        </w:rPr>
        <w:tab/>
      </w:r>
      <w:r w:rsidRPr="00BC39C1">
        <w:rPr>
          <w:rFonts w:ascii="Book Antiqua" w:hAnsi="Book Antiqua"/>
          <w:sz w:val="20"/>
          <w:szCs w:val="20"/>
        </w:rPr>
        <w:tab/>
        <w:t>o</w:t>
      </w:r>
      <w:r w:rsidR="000F2131" w:rsidRPr="00BC39C1">
        <w:rPr>
          <w:rFonts w:ascii="Book Antiqua" w:hAnsi="Book Antiqua"/>
          <w:sz w:val="20"/>
          <w:szCs w:val="20"/>
        </w:rPr>
        <w:t>r when a mist has risen from the ground –</w:t>
      </w:r>
    </w:p>
    <w:p w:rsidR="000F2131" w:rsidRPr="00BC39C1" w:rsidRDefault="003B4BE0" w:rsidP="00004C0B">
      <w:pPr>
        <w:tabs>
          <w:tab w:val="left" w:pos="1440"/>
          <w:tab w:val="left" w:pos="8640"/>
        </w:tabs>
        <w:spacing w:after="120"/>
        <w:ind w:hanging="90"/>
        <w:contextualSpacing/>
        <w:rPr>
          <w:rFonts w:ascii="Book Antiqua" w:hAnsi="Book Antiqua"/>
          <w:sz w:val="20"/>
          <w:szCs w:val="20"/>
        </w:rPr>
      </w:pPr>
      <w:r w:rsidRPr="00BC39C1">
        <w:rPr>
          <w:rFonts w:ascii="Book Antiqua" w:hAnsi="Book Antiqua"/>
          <w:sz w:val="20"/>
          <w:szCs w:val="20"/>
        </w:rPr>
        <w:tab/>
      </w:r>
      <w:r w:rsidRPr="00BC39C1">
        <w:rPr>
          <w:rFonts w:ascii="Book Antiqua" w:hAnsi="Book Antiqua"/>
          <w:sz w:val="20"/>
          <w:szCs w:val="20"/>
        </w:rPr>
        <w:tab/>
        <w:t>j</w:t>
      </w:r>
      <w:r w:rsidR="000F2131" w:rsidRPr="00BC39C1">
        <w:rPr>
          <w:rFonts w:ascii="Book Antiqua" w:hAnsi="Book Antiqua"/>
          <w:sz w:val="20"/>
          <w:szCs w:val="20"/>
        </w:rPr>
        <w:t>ust such an engine rose upon my sight</w:t>
      </w:r>
    </w:p>
    <w:p w:rsidR="000F2131" w:rsidRPr="00BC39C1" w:rsidRDefault="00130413" w:rsidP="00004C0B">
      <w:pPr>
        <w:tabs>
          <w:tab w:val="left" w:pos="720"/>
          <w:tab w:val="left" w:pos="9360"/>
        </w:tabs>
        <w:spacing w:after="120"/>
        <w:ind w:hanging="90"/>
        <w:contextualSpacing/>
        <w:rPr>
          <w:rFonts w:ascii="Book Antiqua" w:hAnsi="Book Antiqua"/>
          <w:sz w:val="20"/>
          <w:szCs w:val="20"/>
        </w:rPr>
      </w:pPr>
      <w:r w:rsidRPr="00BC39C1">
        <w:rPr>
          <w:rFonts w:ascii="Book Antiqua" w:hAnsi="Book Antiqua"/>
          <w:sz w:val="20"/>
          <w:szCs w:val="20"/>
        </w:rPr>
        <w:tab/>
      </w:r>
      <w:r w:rsidR="000F2131" w:rsidRPr="00BC39C1">
        <w:rPr>
          <w:rFonts w:ascii="Book Antiqua" w:hAnsi="Book Antiqua"/>
          <w:sz w:val="20"/>
          <w:szCs w:val="20"/>
        </w:rPr>
        <w:tab/>
        <w:t>Stirring up such a wild and bitter wind</w:t>
      </w:r>
    </w:p>
    <w:p w:rsidR="000F2131" w:rsidRPr="00BC39C1" w:rsidRDefault="000F2131" w:rsidP="00004C0B">
      <w:pPr>
        <w:tabs>
          <w:tab w:val="left" w:pos="1440"/>
          <w:tab w:val="left" w:pos="8640"/>
        </w:tabs>
        <w:spacing w:after="120"/>
        <w:ind w:hanging="90"/>
        <w:rPr>
          <w:rFonts w:ascii="Book Antiqua" w:hAnsi="Book Antiqua"/>
          <w:sz w:val="20"/>
          <w:szCs w:val="20"/>
        </w:rPr>
      </w:pPr>
      <w:r w:rsidRPr="00BC39C1">
        <w:rPr>
          <w:rFonts w:ascii="Book Antiqua" w:hAnsi="Book Antiqua"/>
          <w:sz w:val="20"/>
          <w:szCs w:val="20"/>
        </w:rPr>
        <w:tab/>
      </w:r>
      <w:r w:rsidRPr="00BC39C1">
        <w:rPr>
          <w:rFonts w:ascii="Book Antiqua" w:hAnsi="Book Antiqua"/>
          <w:sz w:val="20"/>
          <w:szCs w:val="20"/>
        </w:rPr>
        <w:tab/>
        <w:t>I cowered for shelter. . .  (Canto XXXIV, 4-8)</w:t>
      </w:r>
      <w:r w:rsidR="00825BEA" w:rsidRPr="00BC39C1">
        <w:rPr>
          <w:rStyle w:val="FootnoteReference"/>
          <w:rFonts w:ascii="Book Antiqua" w:hAnsi="Book Antiqua"/>
          <w:sz w:val="20"/>
          <w:szCs w:val="20"/>
        </w:rPr>
        <w:footnoteReference w:id="1"/>
      </w:r>
    </w:p>
    <w:p w:rsidR="00E63590" w:rsidRDefault="00E63590" w:rsidP="00004C0B">
      <w:pPr>
        <w:tabs>
          <w:tab w:val="left" w:pos="8640"/>
        </w:tabs>
        <w:spacing w:after="120"/>
        <w:rPr>
          <w:rFonts w:ascii="Book Antiqua" w:hAnsi="Book Antiqua"/>
        </w:rPr>
      </w:pPr>
      <w:r w:rsidRPr="0015552E">
        <w:rPr>
          <w:rFonts w:ascii="Book Antiqua" w:hAnsi="Book Antiqua"/>
        </w:rPr>
        <w:t>You are much admired there.</w:t>
      </w:r>
    </w:p>
    <w:p w:rsidR="001337B1" w:rsidRDefault="001337B1" w:rsidP="00004C0B">
      <w:pPr>
        <w:tabs>
          <w:tab w:val="left" w:pos="8640"/>
        </w:tabs>
        <w:spacing w:after="120"/>
        <w:ind w:firstLine="720"/>
        <w:rPr>
          <w:rFonts w:ascii="Book Antiqua" w:hAnsi="Book Antiqua"/>
        </w:rPr>
      </w:pPr>
      <w:r>
        <w:rPr>
          <w:rFonts w:ascii="Book Antiqua" w:hAnsi="Book Antiqua"/>
        </w:rPr>
        <w:t xml:space="preserve">I do not share the </w:t>
      </w:r>
      <w:r w:rsidR="0038134E">
        <w:rPr>
          <w:rFonts w:ascii="Book Antiqua" w:hAnsi="Book Antiqua"/>
        </w:rPr>
        <w:t>sentiment</w:t>
      </w:r>
      <w:r>
        <w:rPr>
          <w:rFonts w:ascii="Book Antiqua" w:hAnsi="Book Antiqua"/>
        </w:rPr>
        <w:t xml:space="preserve">, due to the manner in which you have </w:t>
      </w:r>
      <w:r w:rsidR="0038134E">
        <w:rPr>
          <w:rFonts w:ascii="Book Antiqua" w:hAnsi="Book Antiqua"/>
        </w:rPr>
        <w:t>invested</w:t>
      </w:r>
      <w:r>
        <w:rPr>
          <w:rFonts w:ascii="Book Antiqua" w:hAnsi="Book Antiqua"/>
        </w:rPr>
        <w:t xml:space="preserve"> in the </w:t>
      </w:r>
      <w:r w:rsidR="00AB59E0">
        <w:rPr>
          <w:rFonts w:ascii="Book Antiqua" w:hAnsi="Book Antiqua"/>
        </w:rPr>
        <w:t>new 3M</w:t>
      </w:r>
      <w:r>
        <w:rPr>
          <w:rFonts w:ascii="Book Antiqua" w:hAnsi="Book Antiqua"/>
        </w:rPr>
        <w:t>.</w:t>
      </w:r>
      <w:r w:rsidR="00AB59E0">
        <w:rPr>
          <w:rStyle w:val="FootnoteReference"/>
          <w:rFonts w:ascii="Book Antiqua" w:hAnsi="Book Antiqua"/>
        </w:rPr>
        <w:footnoteReference w:id="2"/>
      </w:r>
      <w:r>
        <w:rPr>
          <w:rFonts w:ascii="Book Antiqua" w:hAnsi="Book Antiqua"/>
        </w:rPr>
        <w:t xml:space="preserve">  By “manner,” I specifically mean the following:  </w:t>
      </w:r>
    </w:p>
    <w:p w:rsidR="001337B1" w:rsidRDefault="001337B1" w:rsidP="00BB44F5">
      <w:pPr>
        <w:pStyle w:val="ListParagraph"/>
        <w:numPr>
          <w:ilvl w:val="0"/>
          <w:numId w:val="6"/>
        </w:numPr>
        <w:tabs>
          <w:tab w:val="left" w:pos="8640"/>
        </w:tabs>
        <w:spacing w:after="120"/>
        <w:rPr>
          <w:rFonts w:ascii="Book Antiqua" w:hAnsi="Book Antiqua"/>
        </w:rPr>
      </w:pPr>
      <w:r>
        <w:rPr>
          <w:rFonts w:ascii="Book Antiqua" w:hAnsi="Book Antiqua"/>
        </w:rPr>
        <w:t>While rightfully insisting on your right to speech, commanding silence of others (the Golden Rule overruled);</w:t>
      </w:r>
    </w:p>
    <w:p w:rsidR="001337B1" w:rsidRDefault="001337B1" w:rsidP="00BB44F5">
      <w:pPr>
        <w:pStyle w:val="ListParagraph"/>
        <w:numPr>
          <w:ilvl w:val="0"/>
          <w:numId w:val="6"/>
        </w:numPr>
        <w:tabs>
          <w:tab w:val="left" w:pos="8640"/>
        </w:tabs>
        <w:spacing w:after="120"/>
        <w:rPr>
          <w:rFonts w:ascii="Book Antiqua" w:hAnsi="Book Antiqua"/>
        </w:rPr>
      </w:pPr>
      <w:r>
        <w:rPr>
          <w:rFonts w:ascii="Book Antiqua" w:hAnsi="Book Antiqua"/>
        </w:rPr>
        <w:t xml:space="preserve">Enforcing that command with </w:t>
      </w:r>
      <w:r w:rsidR="0038134E">
        <w:rPr>
          <w:rFonts w:ascii="Book Antiqua" w:hAnsi="Book Antiqua"/>
        </w:rPr>
        <w:t xml:space="preserve">thuggish </w:t>
      </w:r>
      <w:r>
        <w:rPr>
          <w:rFonts w:ascii="Book Antiqua" w:hAnsi="Book Antiqua"/>
        </w:rPr>
        <w:t>threats (‘Thou art a priest forever’ –</w:t>
      </w:r>
      <w:r w:rsidRPr="007228FF">
        <w:rPr>
          <w:rFonts w:ascii="Book Antiqua" w:hAnsi="Book Antiqua"/>
          <w:i/>
        </w:rPr>
        <w:t xml:space="preserve"> unless</w:t>
      </w:r>
      <w:r w:rsidR="00380C5B">
        <w:rPr>
          <w:rFonts w:ascii="Book Antiqua" w:hAnsi="Book Antiqua"/>
        </w:rPr>
        <w:t xml:space="preserve"> th</w:t>
      </w:r>
      <w:r>
        <w:rPr>
          <w:rFonts w:ascii="Book Antiqua" w:hAnsi="Book Antiqua"/>
        </w:rPr>
        <w:t>ou piss</w:t>
      </w:r>
      <w:r w:rsidR="00380C5B">
        <w:rPr>
          <w:rFonts w:ascii="Book Antiqua" w:hAnsi="Book Antiqua"/>
        </w:rPr>
        <w:t>eth</w:t>
      </w:r>
      <w:r>
        <w:rPr>
          <w:rFonts w:ascii="Book Antiqua" w:hAnsi="Book Antiqua"/>
        </w:rPr>
        <w:t xml:space="preserve"> off the Archbishop</w:t>
      </w:r>
      <w:r w:rsidR="00047662">
        <w:rPr>
          <w:rFonts w:ascii="Book Antiqua" w:hAnsi="Book Antiqua"/>
        </w:rPr>
        <w:t>!</w:t>
      </w:r>
      <w:r>
        <w:rPr>
          <w:rFonts w:ascii="Book Antiqua" w:hAnsi="Book Antiqua"/>
        </w:rPr>
        <w:t>);</w:t>
      </w:r>
    </w:p>
    <w:p w:rsidR="007228FF" w:rsidRDefault="007228FF" w:rsidP="00BB44F5">
      <w:pPr>
        <w:pStyle w:val="ListParagraph"/>
        <w:numPr>
          <w:ilvl w:val="0"/>
          <w:numId w:val="6"/>
        </w:numPr>
        <w:tabs>
          <w:tab w:val="left" w:pos="8640"/>
        </w:tabs>
        <w:spacing w:after="120"/>
        <w:rPr>
          <w:rFonts w:ascii="Book Antiqua" w:hAnsi="Book Antiqua"/>
        </w:rPr>
      </w:pPr>
      <w:r>
        <w:rPr>
          <w:rFonts w:ascii="Book Antiqua" w:hAnsi="Book Antiqua"/>
        </w:rPr>
        <w:t>Impugning the motives of those who disagree with you;</w:t>
      </w:r>
    </w:p>
    <w:p w:rsidR="007228FF" w:rsidRDefault="007228FF" w:rsidP="00BB44F5">
      <w:pPr>
        <w:pStyle w:val="ListParagraph"/>
        <w:numPr>
          <w:ilvl w:val="0"/>
          <w:numId w:val="6"/>
        </w:numPr>
        <w:tabs>
          <w:tab w:val="left" w:pos="8640"/>
        </w:tabs>
        <w:spacing w:after="120"/>
        <w:rPr>
          <w:rFonts w:ascii="Book Antiqua" w:hAnsi="Book Antiqua"/>
        </w:rPr>
      </w:pPr>
      <w:r>
        <w:rPr>
          <w:rFonts w:ascii="Book Antiqua" w:hAnsi="Book Antiqua"/>
        </w:rPr>
        <w:t>Maintaining a veil of secrecy over the funding of your campaign; and</w:t>
      </w:r>
    </w:p>
    <w:p w:rsidR="007228FF" w:rsidRDefault="007228FF" w:rsidP="00BB44F5">
      <w:pPr>
        <w:pStyle w:val="ListParagraph"/>
        <w:numPr>
          <w:ilvl w:val="0"/>
          <w:numId w:val="6"/>
        </w:numPr>
        <w:tabs>
          <w:tab w:val="left" w:pos="8640"/>
        </w:tabs>
        <w:spacing w:after="120"/>
        <w:rPr>
          <w:rFonts w:ascii="Book Antiqua" w:hAnsi="Book Antiqua"/>
        </w:rPr>
      </w:pPr>
      <w:r>
        <w:rPr>
          <w:rFonts w:ascii="Book Antiqua" w:hAnsi="Book Antiqua"/>
        </w:rPr>
        <w:t>Reducing the liturgy to a sta</w:t>
      </w:r>
      <w:r w:rsidR="00051B56">
        <w:rPr>
          <w:rFonts w:ascii="Book Antiqua" w:hAnsi="Book Antiqua"/>
        </w:rPr>
        <w:t xml:space="preserve">ge for a theatrical revival of </w:t>
      </w:r>
      <w:r w:rsidRPr="00051B56">
        <w:rPr>
          <w:rFonts w:ascii="Book Antiqua" w:hAnsi="Book Antiqua"/>
          <w:i/>
        </w:rPr>
        <w:t>Culture Wars</w:t>
      </w:r>
      <w:r w:rsidR="006C1571" w:rsidRPr="00051B56">
        <w:rPr>
          <w:rFonts w:ascii="Book Antiqua" w:hAnsi="Book Antiqua"/>
          <w:i/>
        </w:rPr>
        <w:t xml:space="preserve">:  The Archdiocese </w:t>
      </w:r>
      <w:r w:rsidR="00476F27" w:rsidRPr="00051B56">
        <w:rPr>
          <w:rFonts w:ascii="Book Antiqua" w:hAnsi="Book Antiqua"/>
          <w:i/>
        </w:rPr>
        <w:t>Strikes (</w:t>
      </w:r>
      <w:r w:rsidR="006C1571" w:rsidRPr="00051B56">
        <w:rPr>
          <w:rFonts w:ascii="Book Antiqua" w:hAnsi="Book Antiqua"/>
          <w:i/>
        </w:rPr>
        <w:t>Back</w:t>
      </w:r>
      <w:r w:rsidR="00476F27" w:rsidRPr="00051B56">
        <w:rPr>
          <w:rFonts w:ascii="Book Antiqua" w:hAnsi="Book Antiqua"/>
          <w:i/>
        </w:rPr>
        <w:t>?)</w:t>
      </w:r>
      <w:r w:rsidR="00051B56" w:rsidRPr="00051B56">
        <w:rPr>
          <w:rFonts w:ascii="Book Antiqua" w:hAnsi="Book Antiqua"/>
          <w:i/>
        </w:rPr>
        <w:t>.</w:t>
      </w:r>
    </w:p>
    <w:p w:rsidR="00DE4516" w:rsidRDefault="00DE4516" w:rsidP="00004C0B">
      <w:pPr>
        <w:tabs>
          <w:tab w:val="left" w:pos="8640"/>
        </w:tabs>
        <w:spacing w:after="120"/>
        <w:rPr>
          <w:rFonts w:ascii="Book Antiqua" w:hAnsi="Book Antiqua"/>
        </w:rPr>
      </w:pPr>
      <w:r w:rsidRPr="00002C32">
        <w:rPr>
          <w:rFonts w:ascii="Book Antiqua" w:hAnsi="Book Antiqua"/>
          <w:i/>
        </w:rPr>
        <w:t>What</w:t>
      </w:r>
      <w:r>
        <w:rPr>
          <w:rFonts w:ascii="Book Antiqua" w:hAnsi="Book Antiqua"/>
        </w:rPr>
        <w:t xml:space="preserve"> you are doing may be reasonable, perhaps even a responsibility of the office you hold, as you understand it.  </w:t>
      </w:r>
      <w:r w:rsidRPr="00002C32">
        <w:rPr>
          <w:rFonts w:ascii="Book Antiqua" w:hAnsi="Book Antiqua"/>
          <w:i/>
        </w:rPr>
        <w:t>How</w:t>
      </w:r>
      <w:r>
        <w:rPr>
          <w:rFonts w:ascii="Book Antiqua" w:hAnsi="Book Antiqua"/>
        </w:rPr>
        <w:t xml:space="preserve"> you are doing it is appalling.</w:t>
      </w:r>
    </w:p>
    <w:p w:rsidR="00D90979" w:rsidRPr="0015552E" w:rsidRDefault="00DE4516" w:rsidP="00004C0B">
      <w:pPr>
        <w:spacing w:after="120"/>
        <w:ind w:firstLine="720"/>
        <w:rPr>
          <w:rFonts w:ascii="Book Antiqua" w:hAnsi="Book Antiqua"/>
        </w:rPr>
      </w:pPr>
      <w:r>
        <w:rPr>
          <w:rFonts w:ascii="Book Antiqua" w:hAnsi="Book Antiqua"/>
        </w:rPr>
        <w:lastRenderedPageBreak/>
        <w:t>Lest the</w:t>
      </w:r>
      <w:r w:rsidR="00516ED5">
        <w:rPr>
          <w:rFonts w:ascii="Book Antiqua" w:hAnsi="Book Antiqua"/>
        </w:rPr>
        <w:t>r</w:t>
      </w:r>
      <w:r>
        <w:rPr>
          <w:rFonts w:ascii="Book Antiqua" w:hAnsi="Book Antiqua"/>
        </w:rPr>
        <w:t xml:space="preserve">e be any doubt, </w:t>
      </w:r>
      <w:r w:rsidR="007228FF">
        <w:rPr>
          <w:rFonts w:ascii="Book Antiqua" w:hAnsi="Book Antiqua"/>
        </w:rPr>
        <w:t>I love the Church and believe her to be humankind’s last, be</w:t>
      </w:r>
      <w:r w:rsidR="004F53D2">
        <w:rPr>
          <w:rFonts w:ascii="Book Antiqua" w:hAnsi="Book Antiqua"/>
        </w:rPr>
        <w:t>st hope in these</w:t>
      </w:r>
      <w:r w:rsidR="007C4710">
        <w:rPr>
          <w:rFonts w:ascii="Book Antiqua" w:hAnsi="Book Antiqua"/>
        </w:rPr>
        <w:t>, as all,</w:t>
      </w:r>
      <w:r w:rsidR="004F53D2">
        <w:rPr>
          <w:rFonts w:ascii="Book Antiqua" w:hAnsi="Book Antiqua"/>
        </w:rPr>
        <w:t xml:space="preserve"> dark times</w:t>
      </w:r>
      <w:r w:rsidR="00E93B54">
        <w:rPr>
          <w:rFonts w:ascii="Book Antiqua" w:hAnsi="Book Antiqua"/>
        </w:rPr>
        <w:t xml:space="preserve">.  </w:t>
      </w:r>
      <w:r w:rsidR="007A2AA0">
        <w:rPr>
          <w:rFonts w:ascii="Book Antiqua" w:hAnsi="Book Antiqua"/>
        </w:rPr>
        <w:t xml:space="preserve">It is in the radiant light of that ecclesial love </w:t>
      </w:r>
      <w:r w:rsidR="00047662">
        <w:rPr>
          <w:rFonts w:ascii="Book Antiqua" w:hAnsi="Book Antiqua"/>
        </w:rPr>
        <w:t xml:space="preserve">that </w:t>
      </w:r>
      <w:r w:rsidR="007A2AA0">
        <w:rPr>
          <w:rFonts w:ascii="Book Antiqua" w:hAnsi="Book Antiqua"/>
        </w:rPr>
        <w:t xml:space="preserve">I look upon your current doings, only to recall the medieval maxim, </w:t>
      </w:r>
      <w:r w:rsidR="007A2AA0" w:rsidRPr="007A2AA0">
        <w:rPr>
          <w:rFonts w:ascii="Book Antiqua" w:hAnsi="Book Antiqua"/>
          <w:i/>
        </w:rPr>
        <w:t>corruptio optimi pessima</w:t>
      </w:r>
      <w:r w:rsidR="007A2AA0">
        <w:rPr>
          <w:rFonts w:ascii="Book Antiqua" w:hAnsi="Book Antiqua"/>
        </w:rPr>
        <w:t>.</w:t>
      </w:r>
      <w:r w:rsidR="00516ED5">
        <w:rPr>
          <w:rFonts w:ascii="Book Antiqua" w:hAnsi="Book Antiqua"/>
        </w:rPr>
        <w:t xml:space="preserve">  I find you to be a cause of scandal</w:t>
      </w:r>
      <w:r w:rsidR="00F04993">
        <w:rPr>
          <w:rFonts w:ascii="Book Antiqua" w:hAnsi="Book Antiqua"/>
        </w:rPr>
        <w:t>, and since I have neither</w:t>
      </w:r>
      <w:r w:rsidR="00002C32">
        <w:rPr>
          <w:rFonts w:ascii="Book Antiqua" w:hAnsi="Book Antiqua"/>
        </w:rPr>
        <w:t xml:space="preserve"> millstone, nor access to </w:t>
      </w:r>
      <w:r w:rsidR="00516ED5">
        <w:rPr>
          <w:rFonts w:ascii="Book Antiqua" w:hAnsi="Book Antiqua"/>
        </w:rPr>
        <w:t>your neck</w:t>
      </w:r>
      <w:r w:rsidR="00B0501E">
        <w:rPr>
          <w:rFonts w:ascii="Book Antiqua" w:hAnsi="Book Antiqua"/>
        </w:rPr>
        <w:t xml:space="preserve"> (cf. Mt 18.6)</w:t>
      </w:r>
      <w:r w:rsidR="00516ED5">
        <w:rPr>
          <w:rFonts w:ascii="Book Antiqua" w:hAnsi="Book Antiqua"/>
        </w:rPr>
        <w:t>,</w:t>
      </w:r>
      <w:r w:rsidR="00B0501E">
        <w:rPr>
          <w:rFonts w:ascii="Book Antiqua" w:hAnsi="Book Antiqua"/>
        </w:rPr>
        <w:t xml:space="preserve"> </w:t>
      </w:r>
      <w:r w:rsidR="0022159C">
        <w:rPr>
          <w:rFonts w:ascii="Book Antiqua" w:hAnsi="Book Antiqua"/>
        </w:rPr>
        <w:t xml:space="preserve">the following </w:t>
      </w:r>
      <w:r w:rsidR="00782DC7">
        <w:rPr>
          <w:rFonts w:ascii="Book Antiqua" w:hAnsi="Book Antiqua"/>
        </w:rPr>
        <w:t>six</w:t>
      </w:r>
      <w:r w:rsidR="00E93B54">
        <w:rPr>
          <w:rFonts w:ascii="Book Antiqua" w:hAnsi="Book Antiqua"/>
        </w:rPr>
        <w:t xml:space="preserve"> simple </w:t>
      </w:r>
      <w:r w:rsidR="00D90979">
        <w:rPr>
          <w:rFonts w:ascii="Book Antiqua" w:hAnsi="Book Antiqua"/>
        </w:rPr>
        <w:t>insistence</w:t>
      </w:r>
      <w:r w:rsidR="00E93B54">
        <w:rPr>
          <w:rFonts w:ascii="Book Antiqua" w:hAnsi="Book Antiqua"/>
        </w:rPr>
        <w:t>s</w:t>
      </w:r>
      <w:r w:rsidR="00B0501E">
        <w:rPr>
          <w:rFonts w:ascii="Book Antiqua" w:hAnsi="Book Antiqua"/>
        </w:rPr>
        <w:t xml:space="preserve"> must suffice</w:t>
      </w:r>
      <w:r w:rsidR="00D90979">
        <w:rPr>
          <w:rFonts w:ascii="Book Antiqua" w:hAnsi="Book Antiqua"/>
        </w:rPr>
        <w:t xml:space="preserve">:  (i) insisting that, in point of fact, we are dealing with a disputed question; (ii) insisting on the limits, as well as the breathtaking beauty, of John Paul II’s theology of the body; (iii) insisting that some </w:t>
      </w:r>
      <w:r w:rsidR="0038134E">
        <w:rPr>
          <w:rFonts w:ascii="Book Antiqua" w:hAnsi="Book Antiqua"/>
        </w:rPr>
        <w:t xml:space="preserve">natural law thinking simply isn’t natural, is, in fact, highly </w:t>
      </w:r>
      <w:r w:rsidR="007E5C9A" w:rsidRPr="007E5C9A">
        <w:rPr>
          <w:rFonts w:ascii="Book Antiqua" w:hAnsi="Book Antiqua"/>
          <w:i/>
        </w:rPr>
        <w:t>un</w:t>
      </w:r>
      <w:r w:rsidR="007E5C9A">
        <w:rPr>
          <w:rFonts w:ascii="Book Antiqua" w:hAnsi="Book Antiqua"/>
        </w:rPr>
        <w:t>natural</w:t>
      </w:r>
      <w:r w:rsidR="00D90979">
        <w:rPr>
          <w:rFonts w:ascii="Book Antiqua" w:hAnsi="Book Antiqua"/>
        </w:rPr>
        <w:t>; (iv) insisting on the centrality of analogy to a properly Catholic consideration of this, as any, question; (v) insisting that this question has to do, most proximately, with the vir</w:t>
      </w:r>
      <w:r w:rsidR="0066581E">
        <w:rPr>
          <w:rFonts w:ascii="Book Antiqua" w:hAnsi="Book Antiqua"/>
        </w:rPr>
        <w:t xml:space="preserve">tue of prudence, not faith; </w:t>
      </w:r>
      <w:r w:rsidR="00782DC7">
        <w:rPr>
          <w:rFonts w:ascii="Book Antiqua" w:hAnsi="Book Antiqua"/>
        </w:rPr>
        <w:t xml:space="preserve">and </w:t>
      </w:r>
      <w:r w:rsidR="00D90979">
        <w:rPr>
          <w:rFonts w:ascii="Book Antiqua" w:hAnsi="Book Antiqua"/>
        </w:rPr>
        <w:t>(vi) insisting on the crucial difference between authority, on the one hand, and naked power, on the other – easily confused, yet distinct from each other as Heaven is</w:t>
      </w:r>
      <w:r w:rsidR="00782DC7">
        <w:rPr>
          <w:rFonts w:ascii="Book Antiqua" w:hAnsi="Book Antiqua"/>
        </w:rPr>
        <w:t xml:space="preserve"> from Hell.</w:t>
      </w:r>
    </w:p>
    <w:p w:rsidR="00440DC4" w:rsidRPr="00762754" w:rsidRDefault="0022159C" w:rsidP="00004C0B">
      <w:pPr>
        <w:tabs>
          <w:tab w:val="left" w:pos="8640"/>
        </w:tabs>
        <w:spacing w:after="120"/>
        <w:ind w:firstLine="720"/>
        <w:rPr>
          <w:rFonts w:ascii="Book Antiqua" w:hAnsi="Book Antiqua"/>
        </w:rPr>
      </w:pPr>
      <w:r w:rsidRPr="00762754">
        <w:rPr>
          <w:rFonts w:ascii="Book Antiqua" w:hAnsi="Book Antiqua"/>
          <w:u w:val="single"/>
        </w:rPr>
        <w:t>In the first instance, the question is, in point of fact, disputed</w:t>
      </w:r>
      <w:r w:rsidRPr="00762754">
        <w:rPr>
          <w:rFonts w:ascii="Book Antiqua" w:hAnsi="Book Antiqua"/>
        </w:rPr>
        <w:t>.</w:t>
      </w:r>
      <w:r w:rsidR="0066581E">
        <w:rPr>
          <w:rFonts w:ascii="Book Antiqua" w:hAnsi="Book Antiqua"/>
        </w:rPr>
        <w:t xml:space="preserve">  As a clarification by contrast, I consider the lamest language in </w:t>
      </w:r>
      <w:r w:rsidR="007564C2">
        <w:rPr>
          <w:rFonts w:ascii="Book Antiqua" w:hAnsi="Book Antiqua"/>
        </w:rPr>
        <w:t xml:space="preserve">the Congregation for the Doctrine of the Faith’s </w:t>
      </w:r>
      <w:r w:rsidR="007564C2" w:rsidRPr="007564C2">
        <w:rPr>
          <w:rFonts w:ascii="Book Antiqua" w:hAnsi="Book Antiqua"/>
          <w:i/>
        </w:rPr>
        <w:t>Declaration on Certain Questions Concerning Sexual Ethics</w:t>
      </w:r>
      <w:r w:rsidR="007564C2">
        <w:rPr>
          <w:rFonts w:ascii="Book Antiqua" w:hAnsi="Book Antiqua"/>
        </w:rPr>
        <w:t xml:space="preserve"> </w:t>
      </w:r>
      <w:r w:rsidR="0066581E">
        <w:rPr>
          <w:rFonts w:ascii="Book Antiqua" w:hAnsi="Book Antiqua"/>
        </w:rPr>
        <w:t>to be the following five words, “There can be no doubt. . .”</w:t>
      </w:r>
      <w:r w:rsidR="0066581E">
        <w:rPr>
          <w:rStyle w:val="FootnoteReference"/>
          <w:rFonts w:ascii="Book Antiqua" w:hAnsi="Book Antiqua"/>
        </w:rPr>
        <w:footnoteReference w:id="3"/>
      </w:r>
      <w:r w:rsidR="0066581E">
        <w:rPr>
          <w:rFonts w:ascii="Book Antiqua" w:hAnsi="Book Antiqua"/>
        </w:rPr>
        <w:t xml:space="preserve">  The sentence continues, “. . . </w:t>
      </w:r>
      <w:r w:rsidR="001473E4">
        <w:rPr>
          <w:rFonts w:ascii="Book Antiqua" w:hAnsi="Book Antiqua"/>
        </w:rPr>
        <w:t>of the moral judgment made there [Gen 19.1-11] against homosexual relations.”</w:t>
      </w:r>
    </w:p>
    <w:p w:rsidR="00BC3CE2" w:rsidRDefault="00BC3CE2" w:rsidP="00004C0B">
      <w:pPr>
        <w:tabs>
          <w:tab w:val="left" w:pos="0"/>
        </w:tabs>
        <w:spacing w:after="120"/>
        <w:ind w:firstLine="720"/>
        <w:rPr>
          <w:rFonts w:ascii="Book Antiqua" w:hAnsi="Book Antiqua"/>
        </w:rPr>
      </w:pPr>
      <w:r>
        <w:rPr>
          <w:rFonts w:ascii="Book Antiqua" w:hAnsi="Book Antiqua"/>
        </w:rPr>
        <w:t xml:space="preserve">Of course, there </w:t>
      </w:r>
      <w:r w:rsidRPr="00BC3CE2">
        <w:rPr>
          <w:rFonts w:ascii="Book Antiqua" w:hAnsi="Book Antiqua"/>
          <w:i/>
        </w:rPr>
        <w:t>can</w:t>
      </w:r>
      <w:r>
        <w:rPr>
          <w:rFonts w:ascii="Book Antiqua" w:hAnsi="Book Antiqua"/>
        </w:rPr>
        <w:t xml:space="preserve"> be such doubt, </w:t>
      </w:r>
      <w:r w:rsidRPr="00BC3CE2">
        <w:rPr>
          <w:rFonts w:ascii="Book Antiqua" w:hAnsi="Book Antiqua"/>
          <w:i/>
        </w:rPr>
        <w:t>should be</w:t>
      </w:r>
      <w:r>
        <w:rPr>
          <w:rFonts w:ascii="Book Antiqua" w:hAnsi="Book Antiqua"/>
        </w:rPr>
        <w:t xml:space="preserve"> such doubt, </w:t>
      </w:r>
      <w:r w:rsidRPr="00BC3CE2">
        <w:rPr>
          <w:rFonts w:ascii="Book Antiqua" w:hAnsi="Book Antiqua"/>
          <w:i/>
        </w:rPr>
        <w:t>is</w:t>
      </w:r>
      <w:r w:rsidR="007564C2">
        <w:rPr>
          <w:rFonts w:ascii="Book Antiqua" w:hAnsi="Book Antiqua"/>
        </w:rPr>
        <w:t xml:space="preserve"> such doubt.  The congrega-tions</w:t>
      </w:r>
      <w:r>
        <w:rPr>
          <w:rFonts w:ascii="Book Antiqua" w:hAnsi="Book Antiqua"/>
        </w:rPr>
        <w:t>’s asser</w:t>
      </w:r>
      <w:r w:rsidR="00463BF5">
        <w:rPr>
          <w:rFonts w:ascii="Book Antiqua" w:hAnsi="Book Antiqua"/>
        </w:rPr>
        <w:t>tion simply is not true, and its</w:t>
      </w:r>
      <w:r>
        <w:rPr>
          <w:rFonts w:ascii="Book Antiqua" w:hAnsi="Book Antiqua"/>
        </w:rPr>
        <w:t xml:space="preserve"> having said it does not change that fact.  </w:t>
      </w:r>
      <w:r w:rsidR="001473E4">
        <w:rPr>
          <w:rFonts w:ascii="Book Antiqua" w:hAnsi="Book Antiqua"/>
        </w:rPr>
        <w:t xml:space="preserve">Assertion is not demonstration, and no demonstration is </w:t>
      </w:r>
      <w:r w:rsidR="009331ED">
        <w:rPr>
          <w:rFonts w:ascii="Book Antiqua" w:hAnsi="Book Antiqua"/>
        </w:rPr>
        <w:t xml:space="preserve">even </w:t>
      </w:r>
      <w:r w:rsidR="001473E4">
        <w:rPr>
          <w:rFonts w:ascii="Book Antiqua" w:hAnsi="Book Antiqua"/>
        </w:rPr>
        <w:t xml:space="preserve">attempted.  The question is not answered, precisely because it is never asked.  Once one approaches the text with a question, rather than a presumption, it seems at least highly probable </w:t>
      </w:r>
      <w:r w:rsidR="00490F78">
        <w:rPr>
          <w:rFonts w:ascii="Book Antiqua" w:hAnsi="Book Antiqua"/>
        </w:rPr>
        <w:t>t</w:t>
      </w:r>
      <w:r>
        <w:rPr>
          <w:rFonts w:ascii="Book Antiqua" w:hAnsi="Book Antiqua"/>
        </w:rPr>
        <w:t xml:space="preserve">hat </w:t>
      </w:r>
      <w:r w:rsidR="00490F78">
        <w:rPr>
          <w:rFonts w:ascii="Book Antiqua" w:hAnsi="Book Antiqua"/>
        </w:rPr>
        <w:t>the story of Sodom and Gomorrah</w:t>
      </w:r>
      <w:r>
        <w:rPr>
          <w:rFonts w:ascii="Book Antiqua" w:hAnsi="Book Antiqua"/>
        </w:rPr>
        <w:t xml:space="preserve"> does not pertain to homosexual relations</w:t>
      </w:r>
      <w:r w:rsidR="00395A22">
        <w:rPr>
          <w:rFonts w:ascii="Book Antiqua" w:hAnsi="Book Antiqua"/>
        </w:rPr>
        <w:t xml:space="preserve"> at all</w:t>
      </w:r>
      <w:r w:rsidR="001473E4">
        <w:rPr>
          <w:rFonts w:ascii="Book Antiqua" w:hAnsi="Book Antiqua"/>
        </w:rPr>
        <w:t xml:space="preserve">; this </w:t>
      </w:r>
      <w:r>
        <w:rPr>
          <w:rFonts w:ascii="Book Antiqua" w:hAnsi="Book Antiqua"/>
        </w:rPr>
        <w:t>can be established on three ve</w:t>
      </w:r>
      <w:r w:rsidR="001473E4">
        <w:rPr>
          <w:rFonts w:ascii="Book Antiqua" w:hAnsi="Book Antiqua"/>
        </w:rPr>
        <w:t>ry traditional grounds.</w:t>
      </w:r>
    </w:p>
    <w:p w:rsidR="00BC3CE2" w:rsidRPr="001473E4" w:rsidRDefault="001473E4" w:rsidP="00004C0B">
      <w:pPr>
        <w:tabs>
          <w:tab w:val="left" w:pos="8640"/>
        </w:tabs>
        <w:spacing w:after="120"/>
        <w:ind w:firstLine="720"/>
        <w:rPr>
          <w:rFonts w:ascii="Book Antiqua" w:hAnsi="Book Antiqua"/>
        </w:rPr>
      </w:pPr>
      <w:r>
        <w:rPr>
          <w:rFonts w:ascii="Book Antiqua" w:hAnsi="Book Antiqua"/>
        </w:rPr>
        <w:t>First, t</w:t>
      </w:r>
      <w:r w:rsidR="00BC3CE2" w:rsidRPr="001473E4">
        <w:rPr>
          <w:rFonts w:ascii="Book Antiqua" w:hAnsi="Book Antiqua"/>
        </w:rPr>
        <w:t xml:space="preserve">he integrity of the canon.  </w:t>
      </w:r>
      <w:r w:rsidR="00490F78">
        <w:rPr>
          <w:rFonts w:ascii="Book Antiqua" w:hAnsi="Book Antiqua"/>
        </w:rPr>
        <w:t>There are numerous biblical texts which clearly pertain to same-sex relation</w:t>
      </w:r>
      <w:r w:rsidR="00907DA3">
        <w:rPr>
          <w:rFonts w:ascii="Book Antiqua" w:hAnsi="Book Antiqua"/>
        </w:rPr>
        <w:t>s,</w:t>
      </w:r>
      <w:r w:rsidR="00461A6C">
        <w:rPr>
          <w:rStyle w:val="FootnoteReference"/>
          <w:rFonts w:ascii="Book Antiqua" w:hAnsi="Book Antiqua"/>
        </w:rPr>
        <w:footnoteReference w:id="4"/>
      </w:r>
      <w:r w:rsidR="00490F78">
        <w:rPr>
          <w:rFonts w:ascii="Book Antiqua" w:hAnsi="Book Antiqua"/>
        </w:rPr>
        <w:t xml:space="preserve"> but one reads </w:t>
      </w:r>
      <w:r w:rsidR="001F510D">
        <w:rPr>
          <w:rFonts w:ascii="Book Antiqua" w:hAnsi="Book Antiqua"/>
        </w:rPr>
        <w:t>them all</w:t>
      </w:r>
      <w:r w:rsidR="00490F78">
        <w:rPr>
          <w:rFonts w:ascii="Book Antiqua" w:hAnsi="Book Antiqua"/>
        </w:rPr>
        <w:t xml:space="preserve"> and</w:t>
      </w:r>
      <w:r w:rsidR="001F510D">
        <w:rPr>
          <w:rFonts w:ascii="Book Antiqua" w:hAnsi="Book Antiqua"/>
        </w:rPr>
        <w:t xml:space="preserve"> finds nary a nod to Sod.  C</w:t>
      </w:r>
      <w:r w:rsidR="00490F78">
        <w:rPr>
          <w:rFonts w:ascii="Book Antiqua" w:hAnsi="Book Antiqua"/>
        </w:rPr>
        <w:t>onversely, t</w:t>
      </w:r>
      <w:r w:rsidR="00BC3CE2" w:rsidRPr="001473E4">
        <w:rPr>
          <w:rFonts w:ascii="Book Antiqua" w:hAnsi="Book Antiqua"/>
        </w:rPr>
        <w:t xml:space="preserve">here are numerous references to Sodom throughout both testaments.  Some are simply statements of the place name, but of </w:t>
      </w:r>
      <w:r w:rsidR="001F510D">
        <w:rPr>
          <w:rFonts w:ascii="Book Antiqua" w:hAnsi="Book Antiqua"/>
        </w:rPr>
        <w:t xml:space="preserve">even </w:t>
      </w:r>
      <w:r w:rsidR="00BC3CE2" w:rsidRPr="001473E4">
        <w:rPr>
          <w:rFonts w:ascii="Book Antiqua" w:hAnsi="Book Antiqua"/>
        </w:rPr>
        <w:t>those with referential content,</w:t>
      </w:r>
      <w:r w:rsidR="00461A6C">
        <w:rPr>
          <w:rStyle w:val="FootnoteReference"/>
          <w:rFonts w:ascii="Book Antiqua" w:hAnsi="Book Antiqua"/>
        </w:rPr>
        <w:footnoteReference w:id="5"/>
      </w:r>
      <w:r w:rsidR="00BC3CE2" w:rsidRPr="001473E4">
        <w:rPr>
          <w:rFonts w:ascii="Book Antiqua" w:hAnsi="Book Antiqua"/>
        </w:rPr>
        <w:t xml:space="preserve"> none</w:t>
      </w:r>
      <w:r w:rsidR="001F510D">
        <w:rPr>
          <w:rFonts w:ascii="Book Antiqua" w:hAnsi="Book Antiqua"/>
        </w:rPr>
        <w:t xml:space="preserve"> pertain to same-</w:t>
      </w:r>
      <w:r w:rsidR="00BC3CE2" w:rsidRPr="001473E4">
        <w:rPr>
          <w:rFonts w:ascii="Book Antiqua" w:hAnsi="Book Antiqua"/>
        </w:rPr>
        <w:t>sex relations.</w:t>
      </w:r>
      <w:r w:rsidR="006301BA" w:rsidRPr="001473E4">
        <w:rPr>
          <w:rFonts w:ascii="Book Antiqua" w:hAnsi="Book Antiqua"/>
        </w:rPr>
        <w:t xml:space="preserve">  The closest, indeed the only sexual reference at all, is Jude v. 7, and both the immediately preceding and succeeding verses make it abundantly clear that the concern here is sex </w:t>
      </w:r>
      <w:r w:rsidR="001F510D">
        <w:rPr>
          <w:rFonts w:ascii="Book Antiqua" w:hAnsi="Book Antiqua"/>
        </w:rPr>
        <w:t>with angels.  I mean, Hey, Jude!</w:t>
      </w:r>
      <w:r w:rsidR="0060299B" w:rsidRPr="001473E4">
        <w:rPr>
          <w:rFonts w:ascii="Book Antiqua" w:hAnsi="Book Antiqua"/>
        </w:rPr>
        <w:t xml:space="preserve">  </w:t>
      </w:r>
    </w:p>
    <w:p w:rsidR="006301BA" w:rsidRPr="001473E4" w:rsidRDefault="00490F78" w:rsidP="00004C0B">
      <w:pPr>
        <w:tabs>
          <w:tab w:val="left" w:pos="8640"/>
        </w:tabs>
        <w:spacing w:after="120"/>
        <w:ind w:firstLine="720"/>
        <w:rPr>
          <w:rFonts w:ascii="Book Antiqua" w:hAnsi="Book Antiqua"/>
        </w:rPr>
      </w:pPr>
      <w:r>
        <w:rPr>
          <w:rFonts w:ascii="Book Antiqua" w:hAnsi="Book Antiqua"/>
        </w:rPr>
        <w:t xml:space="preserve">Second, </w:t>
      </w:r>
      <w:r w:rsidR="006301BA" w:rsidRPr="001473E4">
        <w:rPr>
          <w:rFonts w:ascii="Book Antiqua" w:hAnsi="Book Antiqua"/>
        </w:rPr>
        <w:t>Dominical interpretation.  Jesus explicitly referred</w:t>
      </w:r>
      <w:r w:rsidR="00AB17F1">
        <w:rPr>
          <w:rStyle w:val="FootnoteReference"/>
          <w:rFonts w:ascii="Book Antiqua" w:hAnsi="Book Antiqua"/>
        </w:rPr>
        <w:footnoteReference w:id="6"/>
      </w:r>
      <w:r w:rsidR="00AB17F1">
        <w:rPr>
          <w:rFonts w:ascii="Book Antiqua" w:hAnsi="Book Antiqua"/>
        </w:rPr>
        <w:t xml:space="preserve"> </w:t>
      </w:r>
      <w:r w:rsidR="006301BA" w:rsidRPr="001473E4">
        <w:rPr>
          <w:rFonts w:ascii="Book Antiqua" w:hAnsi="Book Antiqua"/>
        </w:rPr>
        <w:t>to the narrative of Genesis 19, and his manifest concern is with the inhospitable behavior manifest there.  I’m not sure there’s any text in our Testament where the Lord’s interpretation of a text from the Jewish Testament is more clear.</w:t>
      </w:r>
    </w:p>
    <w:p w:rsidR="00E61BE7" w:rsidRDefault="00490F78" w:rsidP="00C72E2D">
      <w:pPr>
        <w:tabs>
          <w:tab w:val="left" w:pos="8640"/>
        </w:tabs>
        <w:spacing w:after="120"/>
        <w:ind w:firstLine="720"/>
        <w:rPr>
          <w:rFonts w:ascii="Book Antiqua" w:hAnsi="Book Antiqua"/>
        </w:rPr>
      </w:pPr>
      <w:r>
        <w:rPr>
          <w:rFonts w:ascii="Book Antiqua" w:hAnsi="Book Antiqua"/>
        </w:rPr>
        <w:lastRenderedPageBreak/>
        <w:t xml:space="preserve">Third, plain philology.  </w:t>
      </w:r>
      <w:r w:rsidR="00A27DD8">
        <w:rPr>
          <w:rFonts w:ascii="Book Antiqua" w:hAnsi="Book Antiqua"/>
        </w:rPr>
        <w:t xml:space="preserve">At issue is </w:t>
      </w:r>
      <w:r w:rsidR="00A27DD8" w:rsidRPr="00A27DD8">
        <w:rPr>
          <w:rFonts w:ascii="Book Antiqua" w:hAnsi="Book Antiqua"/>
          <w:i/>
        </w:rPr>
        <w:t>yãdhà</w:t>
      </w:r>
      <w:r w:rsidR="00A27DD8">
        <w:rPr>
          <w:rFonts w:ascii="Book Antiqua" w:hAnsi="Book Antiqua"/>
        </w:rPr>
        <w:t xml:space="preserve"> (t</w:t>
      </w:r>
      <w:r w:rsidR="00E64749">
        <w:rPr>
          <w:rFonts w:ascii="Book Antiqua" w:hAnsi="Book Antiqua"/>
        </w:rPr>
        <w:t xml:space="preserve">o know).  My single semester of </w:t>
      </w:r>
      <w:r w:rsidR="00A27DD8">
        <w:rPr>
          <w:rFonts w:ascii="Book Antiqua" w:hAnsi="Book Antiqua"/>
        </w:rPr>
        <w:t>under</w:t>
      </w:r>
      <w:r w:rsidR="002F114A">
        <w:rPr>
          <w:rFonts w:ascii="Book Antiqua" w:hAnsi="Book Antiqua"/>
        </w:rPr>
        <w:t>-</w:t>
      </w:r>
      <w:r w:rsidR="00A27DD8">
        <w:rPr>
          <w:rFonts w:ascii="Book Antiqua" w:hAnsi="Book Antiqua"/>
        </w:rPr>
        <w:t>graduate Hebrew studies clearly provides no competence here, but even I can consult a Hebrew concordance.</w:t>
      </w:r>
      <w:r w:rsidR="002F114A">
        <w:rPr>
          <w:rStyle w:val="FootnoteReference"/>
          <w:rFonts w:ascii="Book Antiqua" w:hAnsi="Book Antiqua"/>
        </w:rPr>
        <w:footnoteReference w:id="7"/>
      </w:r>
      <w:r w:rsidR="002F114A">
        <w:rPr>
          <w:rFonts w:ascii="Book Antiqua" w:hAnsi="Book Antiqua"/>
        </w:rPr>
        <w:t xml:space="preserve">  T</w:t>
      </w:r>
      <w:r w:rsidR="009A7224">
        <w:rPr>
          <w:rFonts w:ascii="Book Antiqua" w:hAnsi="Book Antiqua"/>
        </w:rPr>
        <w:t>he word occurs 941</w:t>
      </w:r>
      <w:r w:rsidR="00A27DD8">
        <w:rPr>
          <w:rFonts w:ascii="Book Antiqua" w:hAnsi="Book Antiqua"/>
        </w:rPr>
        <w:t xml:space="preserve"> other times,</w:t>
      </w:r>
      <w:r w:rsidR="002F114A">
        <w:rPr>
          <w:rStyle w:val="FootnoteReference"/>
          <w:rFonts w:ascii="Book Antiqua" w:hAnsi="Book Antiqua"/>
        </w:rPr>
        <w:footnoteReference w:id="8"/>
      </w:r>
      <w:r w:rsidR="00A27DD8">
        <w:rPr>
          <w:rFonts w:ascii="Book Antiqua" w:hAnsi="Book Antiqua"/>
        </w:rPr>
        <w:t xml:space="preserve"> of which 11 carry a sexual connotation</w:t>
      </w:r>
      <w:r w:rsidR="001F02FB">
        <w:rPr>
          <w:rFonts w:ascii="Book Antiqua" w:hAnsi="Book Antiqua"/>
        </w:rPr>
        <w:t>.  Not a single one of the 11 pertains to same-sex relations.</w:t>
      </w:r>
    </w:p>
    <w:p w:rsidR="006301BA" w:rsidRPr="001473E4" w:rsidRDefault="001F02FB" w:rsidP="00004C0B">
      <w:pPr>
        <w:tabs>
          <w:tab w:val="left" w:pos="8640"/>
        </w:tabs>
        <w:spacing w:after="120"/>
        <w:ind w:firstLine="720"/>
        <w:rPr>
          <w:rFonts w:ascii="Book Antiqua" w:hAnsi="Book Antiqua"/>
        </w:rPr>
      </w:pPr>
      <w:r>
        <w:rPr>
          <w:rFonts w:ascii="Book Antiqua" w:hAnsi="Book Antiqua"/>
        </w:rPr>
        <w:t xml:space="preserve">None of which is to say that </w:t>
      </w:r>
      <w:r w:rsidR="007564C2">
        <w:rPr>
          <w:rFonts w:ascii="Book Antiqua" w:hAnsi="Book Antiqua"/>
        </w:rPr>
        <w:t>the congregation’s</w:t>
      </w:r>
      <w:r>
        <w:rPr>
          <w:rFonts w:ascii="Book Antiqua" w:hAnsi="Book Antiqua"/>
        </w:rPr>
        <w:t xml:space="preserve"> interpretation of Genesis 19 is wrong.  Maybe Jesus missed the meaning, as did every inspired author.  Maybe </w:t>
      </w:r>
      <w:r w:rsidRPr="00A27DD8">
        <w:rPr>
          <w:rFonts w:ascii="Book Antiqua" w:hAnsi="Book Antiqua"/>
          <w:i/>
        </w:rPr>
        <w:t>yãdhà</w:t>
      </w:r>
      <w:r w:rsidR="009A7224">
        <w:rPr>
          <w:rFonts w:ascii="Book Antiqua" w:hAnsi="Book Antiqua"/>
        </w:rPr>
        <w:t xml:space="preserve"> is used 930</w:t>
      </w:r>
      <w:r>
        <w:rPr>
          <w:rFonts w:ascii="Book Antiqua" w:hAnsi="Book Antiqua"/>
        </w:rPr>
        <w:t xml:space="preserve"> times to mean one thing, 11 times to mean something else, and this one time to mean </w:t>
      </w:r>
      <w:r w:rsidR="00E93B54">
        <w:rPr>
          <w:rFonts w:ascii="Book Antiqua" w:hAnsi="Book Antiqua"/>
        </w:rPr>
        <w:t xml:space="preserve">yet </w:t>
      </w:r>
      <w:r>
        <w:rPr>
          <w:rFonts w:ascii="Book Antiqua" w:hAnsi="Book Antiqua"/>
        </w:rPr>
        <w:t>something else.  Stranger things have happened.  But “there can be no doubt”?</w:t>
      </w:r>
      <w:r w:rsidR="00E61BE7">
        <w:rPr>
          <w:rFonts w:ascii="Book Antiqua" w:hAnsi="Book Antiqua"/>
        </w:rPr>
        <w:t xml:space="preserve">  </w:t>
      </w:r>
    </w:p>
    <w:p w:rsidR="00FC4C9A" w:rsidRDefault="00FC4C9A" w:rsidP="00004C0B">
      <w:pPr>
        <w:tabs>
          <w:tab w:val="left" w:pos="8640"/>
        </w:tabs>
        <w:spacing w:after="120"/>
        <w:ind w:firstLine="720"/>
        <w:rPr>
          <w:rFonts w:ascii="Book Antiqua" w:hAnsi="Book Antiqua"/>
        </w:rPr>
      </w:pPr>
      <w:r>
        <w:rPr>
          <w:rFonts w:ascii="Book Antiqua" w:hAnsi="Book Antiqua"/>
        </w:rPr>
        <w:t xml:space="preserve">The </w:t>
      </w:r>
      <w:r w:rsidR="007564C2">
        <w:rPr>
          <w:rFonts w:ascii="Book Antiqua" w:hAnsi="Book Antiqua"/>
        </w:rPr>
        <w:t>curious curial</w:t>
      </w:r>
      <w:r>
        <w:rPr>
          <w:rFonts w:ascii="Book Antiqua" w:hAnsi="Book Antiqua"/>
        </w:rPr>
        <w:t xml:space="preserve"> interpretation seems to have entered the tradition through Philo, who, being Greek, clearly knew a thing or two about Man-Boy lov</w:t>
      </w:r>
      <w:r w:rsidR="007A18C7">
        <w:rPr>
          <w:rFonts w:ascii="Book Antiqua" w:hAnsi="Book Antiqua"/>
        </w:rPr>
        <w:t xml:space="preserve">e associations.  The </w:t>
      </w:r>
      <w:r w:rsidR="001F02FB">
        <w:rPr>
          <w:rFonts w:ascii="Book Antiqua" w:hAnsi="Book Antiqua"/>
        </w:rPr>
        <w:t>word “sodomy”</w:t>
      </w:r>
      <w:r>
        <w:rPr>
          <w:rFonts w:ascii="Book Antiqua" w:hAnsi="Book Antiqua"/>
        </w:rPr>
        <w:t xml:space="preserve"> entered the lexicon, and having done so proceeded to do what language does, shape</w:t>
      </w:r>
      <w:r w:rsidR="00002C32">
        <w:rPr>
          <w:rFonts w:ascii="Book Antiqua" w:hAnsi="Book Antiqua"/>
        </w:rPr>
        <w:t xml:space="preserve"> </w:t>
      </w:r>
      <w:r>
        <w:rPr>
          <w:rFonts w:ascii="Book Antiqua" w:hAnsi="Book Antiqua"/>
        </w:rPr>
        <w:t>consciousness – from the patristic era through our own.  Even my beloved Bard of Hibbing fell under its spell:</w:t>
      </w:r>
    </w:p>
    <w:p w:rsidR="00FC4C9A" w:rsidRPr="00FC4C9A" w:rsidRDefault="00FC4C9A" w:rsidP="00004C0B">
      <w:pPr>
        <w:tabs>
          <w:tab w:val="left" w:pos="720"/>
        </w:tabs>
        <w:spacing w:after="120"/>
        <w:ind w:firstLine="720"/>
        <w:contextualSpacing/>
        <w:rPr>
          <w:rFonts w:ascii="Book Antiqua" w:hAnsi="Book Antiqua"/>
          <w:sz w:val="20"/>
          <w:szCs w:val="20"/>
        </w:rPr>
      </w:pPr>
      <w:r w:rsidRPr="00FC4C9A">
        <w:rPr>
          <w:rFonts w:ascii="Book Antiqua" w:hAnsi="Book Antiqua"/>
          <w:sz w:val="20"/>
          <w:szCs w:val="20"/>
        </w:rPr>
        <w:t>You’re going to Sodom and Gomorrah</w:t>
      </w:r>
    </w:p>
    <w:p w:rsidR="00440DC4" w:rsidRDefault="00440DC4" w:rsidP="00004C0B">
      <w:pPr>
        <w:tabs>
          <w:tab w:val="left" w:pos="720"/>
        </w:tabs>
        <w:spacing w:after="120"/>
        <w:ind w:firstLine="720"/>
        <w:contextualSpacing/>
        <w:rPr>
          <w:rFonts w:ascii="Book Antiqua" w:hAnsi="Book Antiqua"/>
          <w:sz w:val="20"/>
          <w:szCs w:val="20"/>
        </w:rPr>
      </w:pPr>
      <w:r>
        <w:rPr>
          <w:rFonts w:ascii="Book Antiqua" w:hAnsi="Book Antiqua"/>
          <w:sz w:val="20"/>
          <w:szCs w:val="20"/>
        </w:rPr>
        <w:t>b</w:t>
      </w:r>
      <w:r w:rsidR="00FC4C9A" w:rsidRPr="00FC4C9A">
        <w:rPr>
          <w:rFonts w:ascii="Book Antiqua" w:hAnsi="Book Antiqua"/>
          <w:sz w:val="20"/>
          <w:szCs w:val="20"/>
        </w:rPr>
        <w:t xml:space="preserve">ut what do you care?  Ain’t </w:t>
      </w:r>
      <w:proofErr w:type="gramStart"/>
      <w:r w:rsidR="00FC4C9A" w:rsidRPr="00FC4C9A">
        <w:rPr>
          <w:rFonts w:ascii="Book Antiqua" w:hAnsi="Book Antiqua"/>
          <w:sz w:val="20"/>
          <w:szCs w:val="20"/>
        </w:rPr>
        <w:t>nobody</w:t>
      </w:r>
      <w:proofErr w:type="gramEnd"/>
      <w:r w:rsidR="00FC4C9A" w:rsidRPr="00FC4C9A">
        <w:rPr>
          <w:rFonts w:ascii="Book Antiqua" w:hAnsi="Book Antiqua"/>
          <w:sz w:val="20"/>
          <w:szCs w:val="20"/>
        </w:rPr>
        <w:t xml:space="preserve"> there </w:t>
      </w:r>
    </w:p>
    <w:p w:rsidR="00FC4C9A" w:rsidRPr="00FC4C9A" w:rsidRDefault="00FC4C9A" w:rsidP="00004C0B">
      <w:pPr>
        <w:tabs>
          <w:tab w:val="left" w:pos="720"/>
        </w:tabs>
        <w:spacing w:after="120"/>
        <w:ind w:firstLine="720"/>
        <w:rPr>
          <w:rFonts w:ascii="Book Antiqua" w:hAnsi="Book Antiqua"/>
          <w:sz w:val="20"/>
          <w:szCs w:val="20"/>
        </w:rPr>
      </w:pPr>
      <w:r w:rsidRPr="00FC4C9A">
        <w:rPr>
          <w:rFonts w:ascii="Book Antiqua" w:hAnsi="Book Antiqua"/>
          <w:sz w:val="20"/>
          <w:szCs w:val="20"/>
        </w:rPr>
        <w:t>would want to marry your sister.</w:t>
      </w:r>
      <w:r w:rsidR="005C3066">
        <w:rPr>
          <w:rStyle w:val="FootnoteReference"/>
          <w:rFonts w:ascii="Book Antiqua" w:hAnsi="Book Antiqua"/>
          <w:sz w:val="20"/>
          <w:szCs w:val="20"/>
        </w:rPr>
        <w:footnoteReference w:id="9"/>
      </w:r>
    </w:p>
    <w:p w:rsidR="00BE1A89" w:rsidRDefault="00BE1A89" w:rsidP="00004C0B">
      <w:pPr>
        <w:tabs>
          <w:tab w:val="left" w:pos="8640"/>
        </w:tabs>
        <w:spacing w:after="120"/>
        <w:rPr>
          <w:rFonts w:ascii="Book Antiqua" w:hAnsi="Book Antiqua"/>
        </w:rPr>
      </w:pPr>
      <w:r>
        <w:rPr>
          <w:rFonts w:ascii="Book Antiqua" w:hAnsi="Book Antiqua"/>
        </w:rPr>
        <w:t xml:space="preserve">And so my concern is not with the simple fact that </w:t>
      </w:r>
      <w:r w:rsidR="007564C2">
        <w:rPr>
          <w:rFonts w:ascii="Book Antiqua" w:hAnsi="Book Antiqua"/>
        </w:rPr>
        <w:t>Rome</w:t>
      </w:r>
      <w:r>
        <w:rPr>
          <w:rFonts w:ascii="Book Antiqua" w:hAnsi="Book Antiqua"/>
        </w:rPr>
        <w:t xml:space="preserve"> </w:t>
      </w:r>
      <w:r w:rsidR="001F02FB">
        <w:rPr>
          <w:rFonts w:ascii="Book Antiqua" w:hAnsi="Book Antiqua"/>
        </w:rPr>
        <w:t xml:space="preserve">might have </w:t>
      </w:r>
      <w:r>
        <w:rPr>
          <w:rFonts w:ascii="Book Antiqua" w:hAnsi="Book Antiqua"/>
        </w:rPr>
        <w:t>got</w:t>
      </w:r>
      <w:r w:rsidR="001F02FB">
        <w:rPr>
          <w:rFonts w:ascii="Book Antiqua" w:hAnsi="Book Antiqua"/>
        </w:rPr>
        <w:t>ten</w:t>
      </w:r>
      <w:r>
        <w:rPr>
          <w:rFonts w:ascii="Book Antiqua" w:hAnsi="Book Antiqua"/>
        </w:rPr>
        <w:t xml:space="preserve"> the interpretation wrong.  Look, if Dylan can </w:t>
      </w:r>
      <w:r w:rsidR="00CB24F8">
        <w:rPr>
          <w:rFonts w:ascii="Book Antiqua" w:hAnsi="Book Antiqua"/>
        </w:rPr>
        <w:t>see it that way</w:t>
      </w:r>
      <w:r>
        <w:rPr>
          <w:rFonts w:ascii="Book Antiqua" w:hAnsi="Book Antiqua"/>
        </w:rPr>
        <w:t xml:space="preserve">, then surely </w:t>
      </w:r>
      <w:r w:rsidR="001F02FB">
        <w:rPr>
          <w:rFonts w:ascii="Book Antiqua" w:hAnsi="Book Antiqua"/>
        </w:rPr>
        <w:t>other authorities</w:t>
      </w:r>
      <w:r>
        <w:rPr>
          <w:rFonts w:ascii="Book Antiqua" w:hAnsi="Book Antiqua"/>
        </w:rPr>
        <w:t xml:space="preserve"> can, too.  It’s the “There can be no doubt…” part of the assertion that troubles me.  </w:t>
      </w:r>
      <w:r w:rsidR="00CB24F8">
        <w:rPr>
          <w:rFonts w:ascii="Book Antiqua" w:hAnsi="Book Antiqua"/>
        </w:rPr>
        <w:t>The process of learning, as Fr. Lonergan often insisted, is self-correcting</w:t>
      </w:r>
      <w:r>
        <w:rPr>
          <w:rFonts w:ascii="Book Antiqua" w:hAnsi="Book Antiqua"/>
        </w:rPr>
        <w:t>.</w:t>
      </w:r>
      <w:r w:rsidR="00CB24F8">
        <w:rPr>
          <w:rStyle w:val="FootnoteReference"/>
          <w:rFonts w:ascii="Book Antiqua" w:hAnsi="Book Antiqua"/>
        </w:rPr>
        <w:footnoteReference w:id="10"/>
      </w:r>
      <w:r>
        <w:rPr>
          <w:rFonts w:ascii="Book Antiqua" w:hAnsi="Book Antiqua"/>
        </w:rPr>
        <w:t xml:space="preserve">  </w:t>
      </w:r>
      <w:r w:rsidR="00AB59E0">
        <w:rPr>
          <w:rFonts w:ascii="Book Antiqua" w:hAnsi="Book Antiqua"/>
        </w:rPr>
        <w:t>But the possibility of correction ceases</w:t>
      </w:r>
      <w:r w:rsidR="00CB24F8">
        <w:rPr>
          <w:rFonts w:ascii="Book Antiqua" w:hAnsi="Book Antiqua"/>
        </w:rPr>
        <w:t xml:space="preserve"> when one is not open to further relevant questions</w:t>
      </w:r>
      <w:r w:rsidR="00461A6C">
        <w:rPr>
          <w:rFonts w:ascii="Book Antiqua" w:hAnsi="Book Antiqua"/>
        </w:rPr>
        <w:t xml:space="preserve">.  Questioning is the ‘operator’ of the desire to know, and we </w:t>
      </w:r>
      <w:r w:rsidR="00395A22">
        <w:rPr>
          <w:rFonts w:ascii="Book Antiqua" w:hAnsi="Book Antiqua"/>
        </w:rPr>
        <w:t xml:space="preserve">often </w:t>
      </w:r>
      <w:r w:rsidR="00461A6C">
        <w:rPr>
          <w:rFonts w:ascii="Book Antiqua" w:hAnsi="Book Antiqua"/>
        </w:rPr>
        <w:t xml:space="preserve">fail to ask questions precisely because we do </w:t>
      </w:r>
      <w:r w:rsidR="00461A6C" w:rsidRPr="00395A22">
        <w:rPr>
          <w:rFonts w:ascii="Book Antiqua" w:hAnsi="Book Antiqua"/>
        </w:rPr>
        <w:t>not</w:t>
      </w:r>
      <w:r w:rsidR="00395A22">
        <w:rPr>
          <w:rFonts w:ascii="Book Antiqua" w:hAnsi="Book Antiqua"/>
        </w:rPr>
        <w:t xml:space="preserve"> </w:t>
      </w:r>
      <w:r w:rsidR="00395A22" w:rsidRPr="001260AD">
        <w:rPr>
          <w:rFonts w:ascii="Book Antiqua" w:hAnsi="Book Antiqua"/>
          <w:i/>
        </w:rPr>
        <w:t>want</w:t>
      </w:r>
      <w:r w:rsidR="00461A6C">
        <w:rPr>
          <w:rFonts w:ascii="Book Antiqua" w:hAnsi="Book Antiqua"/>
        </w:rPr>
        <w:t xml:space="preserve"> to know</w:t>
      </w:r>
      <w:r w:rsidR="00CB24F8">
        <w:rPr>
          <w:rFonts w:ascii="Book Antiqua" w:hAnsi="Book Antiqua"/>
        </w:rPr>
        <w:t xml:space="preserve">.  </w:t>
      </w:r>
      <w:r>
        <w:rPr>
          <w:rFonts w:ascii="Book Antiqua" w:hAnsi="Book Antiqua"/>
        </w:rPr>
        <w:t>What did Cardinal Newman say about creeping infallibilism?</w:t>
      </w:r>
      <w:r w:rsidR="006C1571">
        <w:rPr>
          <w:rFonts w:ascii="Book Antiqua" w:hAnsi="Book Antiqua"/>
        </w:rPr>
        <w:t xml:space="preserve">  This, I think, is precisely why he said it.  </w:t>
      </w:r>
      <w:r w:rsidR="009F4EE6">
        <w:rPr>
          <w:rFonts w:ascii="Book Antiqua" w:hAnsi="Book Antiqua"/>
        </w:rPr>
        <w:t xml:space="preserve">There may well be a dictatorship of relativism, but there is also a dictatorship of absolutism; the former may </w:t>
      </w:r>
      <w:r w:rsidR="00BB44F5">
        <w:rPr>
          <w:rFonts w:ascii="Book Antiqua" w:hAnsi="Book Antiqua"/>
        </w:rPr>
        <w:t>at least</w:t>
      </w:r>
      <w:r w:rsidR="001D662F">
        <w:rPr>
          <w:rFonts w:ascii="Book Antiqua" w:hAnsi="Book Antiqua"/>
        </w:rPr>
        <w:t xml:space="preserve"> </w:t>
      </w:r>
      <w:r w:rsidR="00987332">
        <w:rPr>
          <w:rFonts w:ascii="Book Antiqua" w:hAnsi="Book Antiqua"/>
        </w:rPr>
        <w:t xml:space="preserve">possess </w:t>
      </w:r>
      <w:r w:rsidR="009F4EE6">
        <w:rPr>
          <w:rFonts w:ascii="Book Antiqua" w:hAnsi="Book Antiqua"/>
        </w:rPr>
        <w:t>openness to insight that the latter lacks.</w:t>
      </w:r>
      <w:r w:rsidR="001D662F">
        <w:rPr>
          <w:rFonts w:ascii="Book Antiqua" w:hAnsi="Book Antiqua"/>
        </w:rPr>
        <w:t xml:space="preserve">  Still, better to avoid dictatorships altogether, and the </w:t>
      </w:r>
      <w:r w:rsidR="00463BF5">
        <w:rPr>
          <w:rFonts w:ascii="Book Antiqua" w:hAnsi="Book Antiqua"/>
        </w:rPr>
        <w:t>congregation’s</w:t>
      </w:r>
      <w:r w:rsidR="001D662F">
        <w:rPr>
          <w:rFonts w:ascii="Book Antiqua" w:hAnsi="Book Antiqua"/>
        </w:rPr>
        <w:t xml:space="preserve"> language, to me, sounds like a </w:t>
      </w:r>
      <w:r w:rsidR="001D662F" w:rsidRPr="001D662F">
        <w:rPr>
          <w:rFonts w:ascii="Book Antiqua" w:hAnsi="Book Antiqua"/>
          <w:i/>
        </w:rPr>
        <w:t>diktat</w:t>
      </w:r>
      <w:r w:rsidR="001D662F">
        <w:rPr>
          <w:rFonts w:ascii="Book Antiqua" w:hAnsi="Book Antiqua"/>
        </w:rPr>
        <w:t>.</w:t>
      </w:r>
    </w:p>
    <w:p w:rsidR="007F0DB7" w:rsidRDefault="00626CFB" w:rsidP="00E54C9C">
      <w:pPr>
        <w:tabs>
          <w:tab w:val="left" w:pos="8640"/>
        </w:tabs>
        <w:spacing w:after="120"/>
        <w:ind w:firstLine="720"/>
        <w:rPr>
          <w:rFonts w:ascii="Book Antiqua" w:hAnsi="Book Antiqua"/>
        </w:rPr>
      </w:pPr>
      <w:r>
        <w:rPr>
          <w:rFonts w:ascii="Book Antiqua" w:hAnsi="Book Antiqua"/>
        </w:rPr>
        <w:t>Truth has nothing to fear from questions.  Concerning the issue at hand, for example, I think</w:t>
      </w:r>
      <w:r w:rsidR="006453FA">
        <w:rPr>
          <w:rFonts w:ascii="Book Antiqua" w:hAnsi="Book Antiqua"/>
        </w:rPr>
        <w:t xml:space="preserve"> </w:t>
      </w:r>
      <w:r>
        <w:rPr>
          <w:rFonts w:ascii="Book Antiqua" w:hAnsi="Book Antiqua"/>
        </w:rPr>
        <w:t xml:space="preserve">Derrick Sherwin </w:t>
      </w:r>
      <w:r w:rsidR="001067F6">
        <w:rPr>
          <w:rFonts w:ascii="Book Antiqua" w:hAnsi="Book Antiqua"/>
        </w:rPr>
        <w:t>Bailey</w:t>
      </w:r>
      <w:r w:rsidR="00F04993">
        <w:rPr>
          <w:rFonts w:ascii="Book Antiqua" w:hAnsi="Book Antiqua"/>
        </w:rPr>
        <w:t>’s</w:t>
      </w:r>
      <w:r>
        <w:rPr>
          <w:rFonts w:ascii="Book Antiqua" w:hAnsi="Book Antiqua"/>
        </w:rPr>
        <w:t xml:space="preserve"> work of some half a century ago</w:t>
      </w:r>
      <w:r>
        <w:rPr>
          <w:rStyle w:val="FootnoteReference"/>
          <w:rFonts w:ascii="Book Antiqua" w:hAnsi="Book Antiqua"/>
        </w:rPr>
        <w:footnoteReference w:id="11"/>
      </w:r>
      <w:r>
        <w:rPr>
          <w:rFonts w:ascii="Book Antiqua" w:hAnsi="Book Antiqua"/>
        </w:rPr>
        <w:t xml:space="preserve"> can function </w:t>
      </w:r>
      <w:r w:rsidR="006C1571">
        <w:rPr>
          <w:rFonts w:ascii="Book Antiqua" w:hAnsi="Book Antiqua"/>
        </w:rPr>
        <w:t>-- indeed,</w:t>
      </w:r>
      <w:r w:rsidR="006C1571" w:rsidRPr="006C1571">
        <w:rPr>
          <w:rFonts w:ascii="Book Antiqua" w:hAnsi="Book Antiqua"/>
          <w:i/>
        </w:rPr>
        <w:t xml:space="preserve"> has</w:t>
      </w:r>
      <w:r w:rsidR="006C1571">
        <w:rPr>
          <w:rFonts w:ascii="Book Antiqua" w:hAnsi="Book Antiqua"/>
        </w:rPr>
        <w:t xml:space="preserve"> functioned -- </w:t>
      </w:r>
      <w:r w:rsidR="00A936B2">
        <w:rPr>
          <w:rFonts w:ascii="Book Antiqua" w:hAnsi="Book Antiqua"/>
        </w:rPr>
        <w:t xml:space="preserve">in a manner </w:t>
      </w:r>
      <w:r w:rsidR="002F114A">
        <w:rPr>
          <w:rFonts w:ascii="Book Antiqua" w:hAnsi="Book Antiqua"/>
        </w:rPr>
        <w:t>analogous</w:t>
      </w:r>
      <w:r w:rsidR="001067F6">
        <w:rPr>
          <w:rFonts w:ascii="Book Antiqua" w:hAnsi="Book Antiqua"/>
        </w:rPr>
        <w:t xml:space="preserve"> to Abelard’s </w:t>
      </w:r>
      <w:r w:rsidR="001067F6" w:rsidRPr="001067F6">
        <w:rPr>
          <w:rFonts w:ascii="Book Antiqua" w:hAnsi="Book Antiqua"/>
          <w:i/>
        </w:rPr>
        <w:t>Sic et Non</w:t>
      </w:r>
      <w:r>
        <w:rPr>
          <w:rFonts w:ascii="Book Antiqua" w:hAnsi="Book Antiqua"/>
        </w:rPr>
        <w:t xml:space="preserve"> in the medieval context</w:t>
      </w:r>
      <w:r w:rsidR="006C1571">
        <w:rPr>
          <w:rFonts w:ascii="Book Antiqua" w:hAnsi="Book Antiqua"/>
        </w:rPr>
        <w:t>,</w:t>
      </w:r>
      <w:r w:rsidR="006D6696">
        <w:rPr>
          <w:rFonts w:ascii="Book Antiqua" w:hAnsi="Book Antiqua"/>
        </w:rPr>
        <w:t xml:space="preserve"> </w:t>
      </w:r>
      <w:r w:rsidR="002C70D1">
        <w:rPr>
          <w:rFonts w:ascii="Book Antiqua" w:hAnsi="Book Antiqua"/>
        </w:rPr>
        <w:t xml:space="preserve"> </w:t>
      </w:r>
      <w:r w:rsidR="001067F6">
        <w:rPr>
          <w:rFonts w:ascii="Book Antiqua" w:hAnsi="Book Antiqua"/>
        </w:rPr>
        <w:t xml:space="preserve">introducing dialectic </w:t>
      </w:r>
      <w:r w:rsidR="001F44BE">
        <w:rPr>
          <w:rFonts w:ascii="Book Antiqua" w:hAnsi="Book Antiqua"/>
        </w:rPr>
        <w:t>into theology</w:t>
      </w:r>
      <w:r w:rsidR="001067F6">
        <w:rPr>
          <w:rFonts w:ascii="Book Antiqua" w:hAnsi="Book Antiqua"/>
        </w:rPr>
        <w:t>.  Abelard made the entire scholastic enterprise possible</w:t>
      </w:r>
      <w:r>
        <w:rPr>
          <w:rFonts w:ascii="Book Antiqua" w:hAnsi="Book Antiqua"/>
        </w:rPr>
        <w:t xml:space="preserve">, </w:t>
      </w:r>
    </w:p>
    <w:p w:rsidR="00E54C9C" w:rsidRDefault="006662A9" w:rsidP="007F0DB7">
      <w:pPr>
        <w:tabs>
          <w:tab w:val="left" w:pos="8640"/>
        </w:tabs>
        <w:spacing w:after="120"/>
        <w:rPr>
          <w:rFonts w:ascii="Book Antiqua" w:hAnsi="Book Antiqua"/>
        </w:rPr>
      </w:pPr>
      <w:r>
        <w:rPr>
          <w:rFonts w:ascii="Book Antiqua" w:hAnsi="Book Antiqua"/>
        </w:rPr>
        <w:lastRenderedPageBreak/>
        <w:t xml:space="preserve">simply by </w:t>
      </w:r>
      <w:r w:rsidR="00626CFB">
        <w:rPr>
          <w:rFonts w:ascii="Book Antiqua" w:hAnsi="Book Antiqua"/>
        </w:rPr>
        <w:t>marshalling texts in a way that made it possible to ask questions – not simply about the texts, but about their real referents as well.</w:t>
      </w:r>
      <w:r w:rsidR="001F44BE">
        <w:rPr>
          <w:rStyle w:val="FootnoteReference"/>
          <w:rFonts w:ascii="Book Antiqua" w:hAnsi="Book Antiqua"/>
        </w:rPr>
        <w:footnoteReference w:id="12"/>
      </w:r>
      <w:r w:rsidR="00E54C9C">
        <w:rPr>
          <w:rFonts w:ascii="Book Antiqua" w:hAnsi="Book Antiqua"/>
        </w:rPr>
        <w:t xml:space="preserve">  </w:t>
      </w:r>
      <w:r w:rsidR="001F44BE">
        <w:rPr>
          <w:rFonts w:ascii="Book Antiqua" w:hAnsi="Book Antiqua"/>
        </w:rPr>
        <w:t>As then, so now, our B</w:t>
      </w:r>
      <w:r w:rsidR="00026167">
        <w:rPr>
          <w:rFonts w:ascii="Book Antiqua" w:hAnsi="Book Antiqua"/>
        </w:rPr>
        <w:t>ernardian</w:t>
      </w:r>
      <w:r w:rsidR="001F44BE">
        <w:rPr>
          <w:rFonts w:ascii="Book Antiqua" w:hAnsi="Book Antiqua"/>
        </w:rPr>
        <w:t xml:space="preserve"> brethren aren’t particularly pleased</w:t>
      </w:r>
      <w:r w:rsidR="00026167">
        <w:rPr>
          <w:rFonts w:ascii="Book Antiqua" w:hAnsi="Book Antiqua"/>
        </w:rPr>
        <w:t xml:space="preserve">; things </w:t>
      </w:r>
      <w:r w:rsidR="00E54C9C">
        <w:rPr>
          <w:rFonts w:ascii="Book Antiqua" w:hAnsi="Book Antiqua"/>
        </w:rPr>
        <w:t xml:space="preserve">evidently </w:t>
      </w:r>
      <w:r w:rsidR="00026167">
        <w:rPr>
          <w:rFonts w:ascii="Book Antiqua" w:hAnsi="Book Antiqua"/>
        </w:rPr>
        <w:t>seem(ed) much clearer in Clairvaux</w:t>
      </w:r>
      <w:r w:rsidR="001F44BE">
        <w:rPr>
          <w:rFonts w:ascii="Book Antiqua" w:hAnsi="Book Antiqua"/>
        </w:rPr>
        <w:t xml:space="preserve">.  </w:t>
      </w:r>
      <w:r w:rsidR="00652B8C">
        <w:rPr>
          <w:rFonts w:ascii="Book Antiqua" w:hAnsi="Book Antiqua"/>
        </w:rPr>
        <w:t>But the problematic texts remai</w:t>
      </w:r>
      <w:r w:rsidR="00F73F35">
        <w:rPr>
          <w:rFonts w:ascii="Book Antiqua" w:hAnsi="Book Antiqua"/>
        </w:rPr>
        <w:t xml:space="preserve">ned, </w:t>
      </w:r>
      <w:r w:rsidR="00652B8C">
        <w:rPr>
          <w:rFonts w:ascii="Book Antiqua" w:hAnsi="Book Antiqua"/>
        </w:rPr>
        <w:t>the questions emerged, and the self-constitution of the Church developed.</w:t>
      </w:r>
    </w:p>
    <w:p w:rsidR="00652B8C" w:rsidRDefault="00652B8C" w:rsidP="00652B8C">
      <w:pPr>
        <w:tabs>
          <w:tab w:val="left" w:pos="0"/>
        </w:tabs>
        <w:spacing w:after="120"/>
        <w:ind w:firstLine="720"/>
        <w:rPr>
          <w:rFonts w:ascii="Book Antiqua" w:hAnsi="Book Antiqua"/>
        </w:rPr>
      </w:pPr>
      <w:r>
        <w:rPr>
          <w:rFonts w:ascii="Book Antiqua" w:hAnsi="Book Antiqua"/>
        </w:rPr>
        <w:t xml:space="preserve">Bailey assembled similarly problematic texts, as well as pointing out similarly problematic silences.  His is an irenic work, without rancor, and all the more powerful for that fact.  The tradition </w:t>
      </w:r>
      <w:r w:rsidR="00F34D00">
        <w:rPr>
          <w:rFonts w:ascii="Book Antiqua" w:hAnsi="Book Antiqua"/>
        </w:rPr>
        <w:t>is much shallower</w:t>
      </w:r>
      <w:r w:rsidR="001C4501">
        <w:rPr>
          <w:rFonts w:ascii="Book Antiqua" w:hAnsi="Book Antiqua"/>
        </w:rPr>
        <w:t xml:space="preserve">, and wider, </w:t>
      </w:r>
      <w:r>
        <w:rPr>
          <w:rFonts w:ascii="Book Antiqua" w:hAnsi="Book Antiqua"/>
        </w:rPr>
        <w:t xml:space="preserve">than had previously seemed to be the case, with subterranean currents, eddies, even waterfalls left off the official maps, impeding many a pilgrim’s progress.  </w:t>
      </w:r>
      <w:r w:rsidR="00DB4018">
        <w:rPr>
          <w:rFonts w:ascii="Book Antiqua" w:hAnsi="Book Antiqua"/>
        </w:rPr>
        <w:t xml:space="preserve">Forbidden love had flowed rather widely and freely, his more detailed map showed, and others began to make the journey themselves, going beyond the biblical, theological, and </w:t>
      </w:r>
      <w:r w:rsidR="002F114A">
        <w:rPr>
          <w:rFonts w:ascii="Book Antiqua" w:hAnsi="Book Antiqua"/>
        </w:rPr>
        <w:t xml:space="preserve">legal </w:t>
      </w:r>
      <w:r w:rsidR="00DB4018">
        <w:rPr>
          <w:rFonts w:ascii="Book Antiqua" w:hAnsi="Book Antiqua"/>
        </w:rPr>
        <w:t>texts explored by Bailey, into the territory of literature an</w:t>
      </w:r>
      <w:r w:rsidR="007030CE">
        <w:rPr>
          <w:rFonts w:ascii="Book Antiqua" w:hAnsi="Book Antiqua"/>
        </w:rPr>
        <w:t xml:space="preserve">d letter, diary and song.  Thus, the more expansive research of </w:t>
      </w:r>
      <w:r w:rsidR="00DB4018">
        <w:rPr>
          <w:rFonts w:ascii="Book Antiqua" w:hAnsi="Book Antiqua"/>
        </w:rPr>
        <w:t>John Boswell,</w:t>
      </w:r>
      <w:r w:rsidR="00DB4018">
        <w:rPr>
          <w:rStyle w:val="FootnoteReference"/>
          <w:rFonts w:ascii="Book Antiqua" w:hAnsi="Book Antiqua"/>
        </w:rPr>
        <w:footnoteReference w:id="13"/>
      </w:r>
      <w:r w:rsidR="00DB4018">
        <w:rPr>
          <w:rFonts w:ascii="Book Antiqua" w:hAnsi="Book Antiqua"/>
        </w:rPr>
        <w:t xml:space="preserve"> and even he never got around to a careful reading of the tale of Chaucer’s Pardoner; </w:t>
      </w:r>
      <w:r w:rsidR="003B41FA">
        <w:rPr>
          <w:rFonts w:ascii="Book Antiqua" w:hAnsi="Book Antiqua"/>
        </w:rPr>
        <w:t>that, and many more explorations, have been made by others.</w:t>
      </w:r>
      <w:r w:rsidR="009C7F84">
        <w:rPr>
          <w:rStyle w:val="FootnoteReference"/>
          <w:rFonts w:ascii="Book Antiqua" w:hAnsi="Book Antiqua"/>
        </w:rPr>
        <w:footnoteReference w:id="14"/>
      </w:r>
      <w:r w:rsidR="007B59FC">
        <w:rPr>
          <w:rFonts w:ascii="Book Antiqua" w:hAnsi="Book Antiqua"/>
        </w:rPr>
        <w:t xml:space="preserve">  So the tension of texts is there, a discovery of dialectic in need of resolution.  Pretending it isn’t there resolves nothing.</w:t>
      </w:r>
    </w:p>
    <w:p w:rsidR="00583B0C" w:rsidRDefault="00392558" w:rsidP="00583B0C">
      <w:pPr>
        <w:tabs>
          <w:tab w:val="left" w:pos="0"/>
        </w:tabs>
        <w:spacing w:after="120"/>
        <w:ind w:firstLine="720"/>
        <w:rPr>
          <w:rFonts w:ascii="Book Antiqua" w:hAnsi="Book Antiqua"/>
        </w:rPr>
      </w:pPr>
      <w:r>
        <w:rPr>
          <w:rFonts w:ascii="Book Antiqua" w:hAnsi="Book Antiqua"/>
        </w:rPr>
        <w:t>I haven’t belabored this material in order to be pedantic; in fact, just the opposite.  I have only the most minimal skills of scholarship, and almost equally minimal resources with which to work.  My point is that you don’t have to look very far to find reasonable room for doubt, but you do have to look.  A little over three decades ago I read a short article by Fr. David Burrell,</w:t>
      </w:r>
      <w:r>
        <w:rPr>
          <w:rStyle w:val="FootnoteReference"/>
          <w:rFonts w:ascii="Book Antiqua" w:hAnsi="Book Antiqua"/>
        </w:rPr>
        <w:footnoteReference w:id="15"/>
      </w:r>
      <w:r>
        <w:rPr>
          <w:rFonts w:ascii="Book Antiqua" w:hAnsi="Book Antiqua"/>
        </w:rPr>
        <w:t xml:space="preserve"> in which he distinguished between two types of questions:  (1) those for which an answer could be found by looking it up, and (2) those which required a thoroughgoing and recurrent process of inquiry, insight, reflection, and judgment to approach resolution.  No small amount of mischief arises from failing to distinguish the two.  </w:t>
      </w:r>
      <w:r w:rsidR="001C6272">
        <w:rPr>
          <w:rFonts w:ascii="Book Antiqua" w:hAnsi="Book Antiqua"/>
        </w:rPr>
        <w:t xml:space="preserve">In the considerations above, I’ve been engaged in the first type of question.  To establish that there </w:t>
      </w:r>
      <w:r w:rsidR="001C6272" w:rsidRPr="001C6272">
        <w:rPr>
          <w:rFonts w:ascii="Book Antiqua" w:hAnsi="Book Antiqua"/>
          <w:i/>
        </w:rPr>
        <w:t>can</w:t>
      </w:r>
      <w:r w:rsidR="001C6272">
        <w:rPr>
          <w:rFonts w:ascii="Book Antiqua" w:hAnsi="Book Antiqua"/>
        </w:rPr>
        <w:t xml:space="preserve"> be doubt about the meaning of Genesis 19, all I had to do was open a Concordance and a Bible on the library table at which I sat, go back and forth from the one to the other, and the answer emerged, a bit tediously, but fruitfully.  But what does it all mean, for gay friends</w:t>
      </w:r>
      <w:r w:rsidR="00F57C68">
        <w:rPr>
          <w:rFonts w:ascii="Book Antiqua" w:hAnsi="Book Antiqua"/>
        </w:rPr>
        <w:t>,</w:t>
      </w:r>
      <w:r w:rsidR="001C6272">
        <w:rPr>
          <w:rFonts w:ascii="Book Antiqua" w:hAnsi="Book Antiqua"/>
        </w:rPr>
        <w:t xml:space="preserve"> and gay </w:t>
      </w:r>
      <w:r w:rsidR="005A11B7">
        <w:rPr>
          <w:rFonts w:ascii="Book Antiqua" w:hAnsi="Book Antiqua"/>
        </w:rPr>
        <w:t>‘</w:t>
      </w:r>
      <w:r w:rsidR="001C6272">
        <w:rPr>
          <w:rFonts w:ascii="Book Antiqua" w:hAnsi="Book Antiqua"/>
        </w:rPr>
        <w:t>strangers</w:t>
      </w:r>
      <w:r w:rsidR="00F57C68">
        <w:rPr>
          <w:rFonts w:ascii="Book Antiqua" w:hAnsi="Book Antiqua"/>
        </w:rPr>
        <w:t xml:space="preserve"> </w:t>
      </w:r>
      <w:r w:rsidR="00BF0FE5">
        <w:rPr>
          <w:rFonts w:ascii="Book Antiqua" w:hAnsi="Book Antiqua"/>
        </w:rPr>
        <w:t>at the gate</w:t>
      </w:r>
      <w:r w:rsidR="005A11B7">
        <w:rPr>
          <w:rFonts w:ascii="Book Antiqua" w:hAnsi="Book Antiqua"/>
        </w:rPr>
        <w:t>’</w:t>
      </w:r>
      <w:r w:rsidR="001C6272">
        <w:rPr>
          <w:rFonts w:ascii="Book Antiqua" w:hAnsi="Book Antiqua"/>
        </w:rPr>
        <w:t>?  What does it all mean for their</w:t>
      </w:r>
      <w:r w:rsidR="00583B0C">
        <w:rPr>
          <w:rFonts w:ascii="Book Antiqua" w:hAnsi="Book Antiqua"/>
        </w:rPr>
        <w:t xml:space="preserve"> experience of love and loneliness, of fulfillment and failure, of hope, despair, anger, peace – in short, sin and grace?  That’s another type of question altogether.  What foolishness to think you can get an ‘answer’ to that question by looking it up – whether in Genesis, Leviticus, and Romans, or in </w:t>
      </w:r>
      <w:r w:rsidR="00583B0C" w:rsidRPr="00583B0C">
        <w:rPr>
          <w:rFonts w:ascii="Book Antiqua" w:hAnsi="Book Antiqua"/>
          <w:i/>
        </w:rPr>
        <w:t>Humani Generis</w:t>
      </w:r>
      <w:r w:rsidR="00F57C68">
        <w:rPr>
          <w:rFonts w:ascii="Book Antiqua" w:hAnsi="Book Antiqua"/>
        </w:rPr>
        <w:t xml:space="preserve"> and</w:t>
      </w:r>
      <w:r w:rsidR="00583B0C">
        <w:rPr>
          <w:rFonts w:ascii="Book Antiqua" w:hAnsi="Book Antiqua"/>
        </w:rPr>
        <w:t xml:space="preserve"> </w:t>
      </w:r>
      <w:r w:rsidR="00583B0C" w:rsidRPr="00583B0C">
        <w:rPr>
          <w:rFonts w:ascii="Book Antiqua" w:hAnsi="Book Antiqua"/>
          <w:i/>
        </w:rPr>
        <w:t>Veritatis Splendor</w:t>
      </w:r>
      <w:r w:rsidR="00583B0C">
        <w:rPr>
          <w:rFonts w:ascii="Book Antiqua" w:hAnsi="Book Antiqua"/>
        </w:rPr>
        <w:t xml:space="preserve">, or in the assembled sayings of the Archbishop of St. Paul and Minneapolis.  Look in those places, by all means.  I have.  I do.  I will.  But no answer </w:t>
      </w:r>
      <w:r w:rsidR="007545C6">
        <w:rPr>
          <w:rFonts w:ascii="Book Antiqua" w:hAnsi="Book Antiqua"/>
        </w:rPr>
        <w:t xml:space="preserve">to this kind of question </w:t>
      </w:r>
      <w:r w:rsidR="00583B0C">
        <w:rPr>
          <w:rFonts w:ascii="Book Antiqua" w:hAnsi="Book Antiqua"/>
        </w:rPr>
        <w:t>will come as it did at my library table.</w:t>
      </w:r>
      <w:r w:rsidR="007545C6">
        <w:rPr>
          <w:rFonts w:ascii="Book Antiqua" w:hAnsi="Book Antiqua"/>
        </w:rPr>
        <w:t xml:space="preserve">  That answer was helpful, but only to lead to the real questions that remain.</w:t>
      </w:r>
    </w:p>
    <w:p w:rsidR="007545C6" w:rsidRDefault="007545C6" w:rsidP="007545C6">
      <w:pPr>
        <w:tabs>
          <w:tab w:val="left" w:pos="720"/>
        </w:tabs>
        <w:spacing w:after="120"/>
        <w:ind w:left="720" w:right="720"/>
        <w:contextualSpacing/>
        <w:rPr>
          <w:rFonts w:ascii="Book Antiqua" w:hAnsi="Book Antiqua"/>
          <w:sz w:val="20"/>
          <w:szCs w:val="20"/>
        </w:rPr>
      </w:pPr>
      <w:r>
        <w:rPr>
          <w:rFonts w:ascii="Book Antiqua" w:hAnsi="Book Antiqua"/>
          <w:sz w:val="20"/>
          <w:szCs w:val="20"/>
        </w:rPr>
        <w:lastRenderedPageBreak/>
        <w:tab/>
      </w:r>
      <w:r>
        <w:rPr>
          <w:rFonts w:ascii="Book Antiqua" w:hAnsi="Book Antiqua"/>
          <w:sz w:val="20"/>
          <w:szCs w:val="20"/>
        </w:rPr>
        <w:tab/>
        <w:t>These are only hints and guesses,</w:t>
      </w:r>
    </w:p>
    <w:p w:rsidR="007545C6" w:rsidRDefault="007545C6" w:rsidP="007545C6">
      <w:pPr>
        <w:tabs>
          <w:tab w:val="left" w:pos="720"/>
        </w:tabs>
        <w:spacing w:after="120"/>
        <w:ind w:left="720" w:right="720"/>
        <w:contextualSpacing/>
        <w:rPr>
          <w:rFonts w:ascii="Book Antiqua" w:hAnsi="Book Antiqua"/>
          <w:sz w:val="20"/>
          <w:szCs w:val="20"/>
        </w:rPr>
      </w:pPr>
      <w:r>
        <w:rPr>
          <w:rFonts w:ascii="Book Antiqua" w:hAnsi="Book Antiqua"/>
          <w:sz w:val="20"/>
          <w:szCs w:val="20"/>
        </w:rPr>
        <w:t>Hints followed by guesses; and the rest</w:t>
      </w:r>
    </w:p>
    <w:p w:rsidR="007545C6" w:rsidRPr="007545C6" w:rsidRDefault="007545C6" w:rsidP="007545C6">
      <w:pPr>
        <w:tabs>
          <w:tab w:val="left" w:pos="720"/>
        </w:tabs>
        <w:spacing w:after="120"/>
        <w:ind w:left="720" w:right="720"/>
        <w:rPr>
          <w:rFonts w:ascii="Book Antiqua" w:hAnsi="Book Antiqua"/>
          <w:sz w:val="20"/>
          <w:szCs w:val="20"/>
        </w:rPr>
      </w:pPr>
      <w:r>
        <w:rPr>
          <w:rFonts w:ascii="Book Antiqua" w:hAnsi="Book Antiqua"/>
          <w:sz w:val="20"/>
          <w:szCs w:val="20"/>
        </w:rPr>
        <w:t>Is prayer, discipline, thought and action.</w:t>
      </w:r>
      <w:r>
        <w:rPr>
          <w:rStyle w:val="FootnoteReference"/>
          <w:rFonts w:ascii="Book Antiqua" w:hAnsi="Book Antiqua"/>
          <w:sz w:val="20"/>
          <w:szCs w:val="20"/>
        </w:rPr>
        <w:footnoteReference w:id="16"/>
      </w:r>
    </w:p>
    <w:p w:rsidR="00F877DA" w:rsidRDefault="002D33B5" w:rsidP="00652B8C">
      <w:pPr>
        <w:tabs>
          <w:tab w:val="left" w:pos="0"/>
        </w:tabs>
        <w:spacing w:after="120"/>
        <w:ind w:firstLine="720"/>
        <w:rPr>
          <w:rFonts w:ascii="Book Antiqua" w:hAnsi="Book Antiqua"/>
        </w:rPr>
      </w:pPr>
      <w:r>
        <w:rPr>
          <w:rFonts w:ascii="Book Antiqua" w:hAnsi="Book Antiqua"/>
        </w:rPr>
        <w:t xml:space="preserve">The early Abelard set about marshalling texts, the later Abelard </w:t>
      </w:r>
      <w:r w:rsidR="007545C6">
        <w:rPr>
          <w:rFonts w:ascii="Book Antiqua" w:hAnsi="Book Antiqua"/>
        </w:rPr>
        <w:t>– prayer, discipline, thought and action, indeed</w:t>
      </w:r>
      <w:r w:rsidR="001C4501">
        <w:rPr>
          <w:rFonts w:ascii="Book Antiqua" w:hAnsi="Book Antiqua"/>
        </w:rPr>
        <w:t>!</w:t>
      </w:r>
      <w:r w:rsidR="007545C6">
        <w:rPr>
          <w:rFonts w:ascii="Book Antiqua" w:hAnsi="Book Antiqua"/>
        </w:rPr>
        <w:t xml:space="preserve"> -- </w:t>
      </w:r>
      <w:r>
        <w:rPr>
          <w:rFonts w:ascii="Book Antiqua" w:hAnsi="Book Antiqua"/>
        </w:rPr>
        <w:t xml:space="preserve">to a highly original, constructive theology which emphasized the love of God, manifest in the human </w:t>
      </w:r>
      <w:r w:rsidR="008148B1">
        <w:rPr>
          <w:rFonts w:ascii="Book Antiqua" w:hAnsi="Book Antiqua"/>
        </w:rPr>
        <w:t>J</w:t>
      </w:r>
      <w:r>
        <w:rPr>
          <w:rFonts w:ascii="Book Antiqua" w:hAnsi="Book Antiqua"/>
        </w:rPr>
        <w:t>esus, who suffered with and had compassion for f</w:t>
      </w:r>
      <w:r w:rsidR="008148B1">
        <w:rPr>
          <w:rFonts w:ascii="Book Antiqua" w:hAnsi="Book Antiqua"/>
        </w:rPr>
        <w:t>le</w:t>
      </w:r>
      <w:r>
        <w:rPr>
          <w:rFonts w:ascii="Book Antiqua" w:hAnsi="Book Antiqua"/>
        </w:rPr>
        <w:t>sh-and-blood human beings.</w:t>
      </w:r>
      <w:r w:rsidR="008148B1">
        <w:rPr>
          <w:rFonts w:ascii="Book Antiqua" w:hAnsi="Book Antiqua"/>
        </w:rPr>
        <w:t xml:space="preserve">  The pivot from one to the other, of cour</w:t>
      </w:r>
      <w:r w:rsidR="00461A6C">
        <w:rPr>
          <w:rFonts w:ascii="Book Antiqua" w:hAnsi="Book Antiqua"/>
        </w:rPr>
        <w:t xml:space="preserve">se, had a name, and we can </w:t>
      </w:r>
      <w:r w:rsidR="008148B1">
        <w:rPr>
          <w:rFonts w:ascii="Book Antiqua" w:hAnsi="Book Antiqua"/>
        </w:rPr>
        <w:t xml:space="preserve">take some hints from Heloise, who </w:t>
      </w:r>
      <w:r w:rsidR="00461A6C">
        <w:rPr>
          <w:rFonts w:ascii="Book Antiqua" w:hAnsi="Book Antiqua"/>
        </w:rPr>
        <w:t xml:space="preserve">surely </w:t>
      </w:r>
      <w:r w:rsidR="008148B1">
        <w:rPr>
          <w:rFonts w:ascii="Book Antiqua" w:hAnsi="Book Antiqua"/>
        </w:rPr>
        <w:t>knew something of the experience of forbidden love, and its power to last life-long.  Rosemary Haughton gleans these:</w:t>
      </w:r>
    </w:p>
    <w:p w:rsidR="00F222FE" w:rsidRPr="00F222FE" w:rsidRDefault="00F222FE" w:rsidP="00F222FE">
      <w:pPr>
        <w:tabs>
          <w:tab w:val="left" w:pos="1200"/>
        </w:tabs>
        <w:spacing w:after="120"/>
        <w:ind w:left="720" w:right="720"/>
        <w:rPr>
          <w:rFonts w:ascii="Book Antiqua" w:hAnsi="Book Antiqua"/>
          <w:sz w:val="20"/>
          <w:szCs w:val="20"/>
        </w:rPr>
      </w:pPr>
      <w:r w:rsidRPr="00F222FE">
        <w:rPr>
          <w:rFonts w:ascii="Book Antiqua" w:hAnsi="Book Antiqua"/>
          <w:sz w:val="20"/>
          <w:szCs w:val="20"/>
        </w:rPr>
        <w:t>Through their strange and tragic experience of love the whole Christian feeling about the nature of human love was enhanced, made more strange, more sensitive, more problematic.</w:t>
      </w:r>
      <w:r>
        <w:rPr>
          <w:rStyle w:val="FootnoteReference"/>
          <w:rFonts w:ascii="Book Antiqua" w:hAnsi="Book Antiqua"/>
          <w:sz w:val="20"/>
          <w:szCs w:val="20"/>
        </w:rPr>
        <w:footnoteReference w:id="17"/>
      </w:r>
    </w:p>
    <w:p w:rsidR="00F222FE" w:rsidRPr="00F222FE" w:rsidRDefault="00F222FE" w:rsidP="00F222FE">
      <w:pPr>
        <w:tabs>
          <w:tab w:val="left" w:pos="1200"/>
        </w:tabs>
        <w:spacing w:after="120"/>
        <w:ind w:left="720" w:right="720"/>
        <w:rPr>
          <w:rFonts w:ascii="Book Antiqua" w:hAnsi="Book Antiqua"/>
          <w:sz w:val="20"/>
          <w:szCs w:val="20"/>
        </w:rPr>
      </w:pPr>
      <w:r w:rsidRPr="00F222FE">
        <w:rPr>
          <w:rFonts w:ascii="Book Antiqua" w:hAnsi="Book Antiqua"/>
          <w:sz w:val="20"/>
          <w:szCs w:val="20"/>
        </w:rPr>
        <w:t xml:space="preserve"> … this strange, illicit, and disastrous love, in its destruction produced acute and courageous reflection on the nature of human love, of marriage, of the relation between divine and human love.  The exchanges between the anguished minds of the parted lovers refined and hammered out new insights.</w:t>
      </w:r>
      <w:r>
        <w:rPr>
          <w:rStyle w:val="FootnoteReference"/>
          <w:rFonts w:ascii="Book Antiqua" w:hAnsi="Book Antiqua"/>
          <w:sz w:val="20"/>
          <w:szCs w:val="20"/>
        </w:rPr>
        <w:footnoteReference w:id="18"/>
      </w:r>
    </w:p>
    <w:p w:rsidR="00F222FE" w:rsidRPr="00F222FE" w:rsidRDefault="00F222FE" w:rsidP="00F222FE">
      <w:pPr>
        <w:tabs>
          <w:tab w:val="left" w:pos="1200"/>
        </w:tabs>
        <w:spacing w:after="120"/>
        <w:ind w:left="720" w:right="720"/>
        <w:rPr>
          <w:rFonts w:ascii="Book Antiqua" w:hAnsi="Book Antiqua"/>
          <w:sz w:val="20"/>
          <w:szCs w:val="20"/>
        </w:rPr>
      </w:pPr>
      <w:r w:rsidRPr="00F222FE">
        <w:rPr>
          <w:rFonts w:ascii="Book Antiqua" w:hAnsi="Book Antiqua"/>
          <w:sz w:val="20"/>
          <w:szCs w:val="20"/>
        </w:rPr>
        <w:t>Her contribution to the Catholic enterprise was to pin down remorselessly certain moral paradoxes displayed in her own life.</w:t>
      </w:r>
      <w:r w:rsidR="004064CB">
        <w:rPr>
          <w:rStyle w:val="FootnoteReference"/>
          <w:rFonts w:ascii="Book Antiqua" w:hAnsi="Book Antiqua"/>
          <w:sz w:val="20"/>
          <w:szCs w:val="20"/>
        </w:rPr>
        <w:footnoteReference w:id="19"/>
      </w:r>
    </w:p>
    <w:p w:rsidR="008148B1" w:rsidRDefault="004064CB" w:rsidP="00652B8C">
      <w:pPr>
        <w:tabs>
          <w:tab w:val="left" w:pos="0"/>
        </w:tabs>
        <w:spacing w:after="120"/>
        <w:ind w:firstLine="720"/>
        <w:rPr>
          <w:rFonts w:ascii="Book Antiqua" w:hAnsi="Book Antiqua"/>
        </w:rPr>
      </w:pPr>
      <w:r>
        <w:rPr>
          <w:rFonts w:ascii="Book Antiqua" w:hAnsi="Book Antiqua"/>
        </w:rPr>
        <w:t xml:space="preserve">In the intervening centuries there have been other anguished minds reflecting on tragic experience, attending to moral paradox, and hammering out new insights; there are such in our day.  And like those raised by troubling texts, their </w:t>
      </w:r>
      <w:r w:rsidR="008B282D">
        <w:rPr>
          <w:rFonts w:ascii="Book Antiqua" w:hAnsi="Book Antiqua"/>
        </w:rPr>
        <w:t xml:space="preserve">existential </w:t>
      </w:r>
      <w:r>
        <w:rPr>
          <w:rFonts w:ascii="Book Antiqua" w:hAnsi="Book Antiqua"/>
        </w:rPr>
        <w:t>questions will not go away.  These questions, as the saying goes, may be queer, but they’re here</w:t>
      </w:r>
      <w:r w:rsidR="00EF4BEC">
        <w:rPr>
          <w:rFonts w:ascii="Book Antiqua" w:hAnsi="Book Antiqua"/>
        </w:rPr>
        <w:t xml:space="preserve">, and they </w:t>
      </w:r>
      <w:r w:rsidR="00AB59E0">
        <w:rPr>
          <w:rFonts w:ascii="Book Antiqua" w:hAnsi="Book Antiqua"/>
        </w:rPr>
        <w:t>won’t be long suppressed</w:t>
      </w:r>
      <w:r w:rsidR="00EF4BEC">
        <w:rPr>
          <w:rFonts w:ascii="Book Antiqua" w:hAnsi="Book Antiqua"/>
        </w:rPr>
        <w:t xml:space="preserve">.  Ours, sadly, seems a time of competing certainties, </w:t>
      </w:r>
      <w:r w:rsidR="00004A1A">
        <w:rPr>
          <w:rFonts w:ascii="Book Antiqua" w:hAnsi="Book Antiqua"/>
        </w:rPr>
        <w:t>conservative</w:t>
      </w:r>
      <w:r w:rsidR="00EF4BEC">
        <w:rPr>
          <w:rFonts w:ascii="Book Antiqua" w:hAnsi="Book Antiqua"/>
        </w:rPr>
        <w:t xml:space="preserve"> and liberal</w:t>
      </w:r>
      <w:r w:rsidR="00B70E71">
        <w:rPr>
          <w:rFonts w:ascii="Book Antiqua" w:hAnsi="Book Antiqua"/>
        </w:rPr>
        <w:t xml:space="preserve"> (manifest in their ‘periodical’ correctness – </w:t>
      </w:r>
      <w:r w:rsidR="00B70E71" w:rsidRPr="00B70E71">
        <w:rPr>
          <w:rFonts w:ascii="Book Antiqua" w:hAnsi="Book Antiqua"/>
          <w:i/>
        </w:rPr>
        <w:t>First Things</w:t>
      </w:r>
      <w:r w:rsidR="00B70E71">
        <w:rPr>
          <w:rFonts w:ascii="Book Antiqua" w:hAnsi="Book Antiqua"/>
        </w:rPr>
        <w:t xml:space="preserve"> v. </w:t>
      </w:r>
      <w:r w:rsidR="00B70E71" w:rsidRPr="00B70E71">
        <w:rPr>
          <w:rFonts w:ascii="Book Antiqua" w:hAnsi="Book Antiqua"/>
          <w:i/>
        </w:rPr>
        <w:t>The Nation</w:t>
      </w:r>
      <w:r w:rsidR="00B70E71">
        <w:rPr>
          <w:rFonts w:ascii="Book Antiqua" w:hAnsi="Book Antiqua"/>
        </w:rPr>
        <w:t>)</w:t>
      </w:r>
      <w:r w:rsidR="00EF4BEC">
        <w:rPr>
          <w:rFonts w:ascii="Book Antiqua" w:hAnsi="Book Antiqua"/>
        </w:rPr>
        <w:t xml:space="preserve">.  </w:t>
      </w:r>
      <w:r w:rsidR="0052492D">
        <w:rPr>
          <w:rFonts w:ascii="Book Antiqua" w:hAnsi="Book Antiqua"/>
        </w:rPr>
        <w:t xml:space="preserve">Each ‘side’ seems to have favorite sources where you can look answers up; neither </w:t>
      </w:r>
      <w:r w:rsidR="00EF4BEC">
        <w:rPr>
          <w:rFonts w:ascii="Book Antiqua" w:hAnsi="Book Antiqua"/>
        </w:rPr>
        <w:t xml:space="preserve">seems particularly anguished by moral paradox, neither moving us very </w:t>
      </w:r>
      <w:r w:rsidR="008B282D">
        <w:rPr>
          <w:rFonts w:ascii="Book Antiqua" w:hAnsi="Book Antiqua"/>
        </w:rPr>
        <w:t xml:space="preserve">far </w:t>
      </w:r>
      <w:r w:rsidR="00EF4BEC">
        <w:rPr>
          <w:rFonts w:ascii="Book Antiqua" w:hAnsi="Book Antiqua"/>
        </w:rPr>
        <w:t>toward understanding, because each considers the questions already answered.  They aren’t.</w:t>
      </w:r>
    </w:p>
    <w:p w:rsidR="008148B1" w:rsidRDefault="00EF4BEC" w:rsidP="00002C32">
      <w:pPr>
        <w:tabs>
          <w:tab w:val="left" w:pos="0"/>
        </w:tabs>
        <w:spacing w:after="120"/>
        <w:ind w:firstLine="720"/>
        <w:rPr>
          <w:rFonts w:ascii="Book Antiqua" w:hAnsi="Book Antiqua"/>
        </w:rPr>
      </w:pPr>
      <w:r>
        <w:rPr>
          <w:rFonts w:ascii="Book Antiqua" w:hAnsi="Book Antiqua"/>
        </w:rPr>
        <w:t xml:space="preserve">The </w:t>
      </w:r>
      <w:r w:rsidR="003A389A">
        <w:rPr>
          <w:rFonts w:ascii="Book Antiqua" w:hAnsi="Book Antiqua"/>
        </w:rPr>
        <w:t xml:space="preserve">fundamental </w:t>
      </w:r>
      <w:r>
        <w:rPr>
          <w:rFonts w:ascii="Book Antiqua" w:hAnsi="Book Antiqua"/>
        </w:rPr>
        <w:t xml:space="preserve">question </w:t>
      </w:r>
      <w:r w:rsidRPr="003A389A">
        <w:rPr>
          <w:rFonts w:ascii="Book Antiqua" w:hAnsi="Book Antiqua"/>
          <w:i/>
        </w:rPr>
        <w:t>is</w:t>
      </w:r>
      <w:r>
        <w:rPr>
          <w:rFonts w:ascii="Book Antiqua" w:hAnsi="Book Antiqua"/>
        </w:rPr>
        <w:t xml:space="preserve"> disputed.</w:t>
      </w:r>
      <w:r w:rsidR="0052492D">
        <w:rPr>
          <w:rFonts w:ascii="Book Antiqua" w:hAnsi="Book Antiqua"/>
        </w:rPr>
        <w:t xml:space="preserve">  So the only fruitful way forward is through </w:t>
      </w:r>
      <w:r w:rsidR="001C4501">
        <w:rPr>
          <w:rFonts w:ascii="Book Antiqua" w:hAnsi="Book Antiqua"/>
        </w:rPr>
        <w:t xml:space="preserve">the “acute and courageous reflection” of </w:t>
      </w:r>
      <w:r w:rsidR="0052492D" w:rsidRPr="0052492D">
        <w:rPr>
          <w:rFonts w:ascii="Book Antiqua" w:hAnsi="Book Antiqua"/>
          <w:i/>
        </w:rPr>
        <w:t>disputatio</w:t>
      </w:r>
      <w:r w:rsidR="0052492D">
        <w:rPr>
          <w:rFonts w:ascii="Book Antiqua" w:hAnsi="Book Antiqua"/>
        </w:rPr>
        <w:t>, and you don’t get that by telling people to shut up.</w:t>
      </w:r>
    </w:p>
    <w:p w:rsidR="003B56F9" w:rsidRDefault="00002C32" w:rsidP="003B56F9">
      <w:pPr>
        <w:tabs>
          <w:tab w:val="left" w:pos="0"/>
        </w:tabs>
        <w:spacing w:after="120"/>
        <w:ind w:firstLine="720"/>
        <w:rPr>
          <w:rFonts w:ascii="Book Antiqua" w:hAnsi="Book Antiqua"/>
        </w:rPr>
      </w:pPr>
      <w:r w:rsidRPr="00002C32">
        <w:rPr>
          <w:rFonts w:ascii="Book Antiqua" w:hAnsi="Book Antiqua"/>
          <w:u w:val="single"/>
        </w:rPr>
        <w:t>In the second instance, John Paul’s ‘theology of the body’ is often made to carry a weight it cannot bear</w:t>
      </w:r>
      <w:r>
        <w:rPr>
          <w:rFonts w:ascii="Book Antiqua" w:hAnsi="Book Antiqua"/>
        </w:rPr>
        <w:t>.</w:t>
      </w:r>
      <w:r w:rsidR="00B70E71">
        <w:rPr>
          <w:rFonts w:ascii="Book Antiqua" w:hAnsi="Book Antiqua"/>
        </w:rPr>
        <w:t xml:space="preserve"> </w:t>
      </w:r>
      <w:r w:rsidR="002B2004">
        <w:rPr>
          <w:rFonts w:ascii="Book Antiqua" w:hAnsi="Book Antiqua"/>
        </w:rPr>
        <w:t xml:space="preserve"> I shared the widespread curiosity, first, and then enthusiasm with which </w:t>
      </w:r>
      <w:r w:rsidR="0024504F">
        <w:rPr>
          <w:rFonts w:ascii="Book Antiqua" w:hAnsi="Book Antiqua"/>
        </w:rPr>
        <w:t xml:space="preserve">reports of </w:t>
      </w:r>
      <w:r w:rsidR="00694136">
        <w:rPr>
          <w:rFonts w:ascii="Book Antiqua" w:hAnsi="Book Antiqua"/>
        </w:rPr>
        <w:t xml:space="preserve">the </w:t>
      </w:r>
      <w:r w:rsidR="00616601">
        <w:rPr>
          <w:rFonts w:ascii="Book Antiqua" w:hAnsi="Book Antiqua"/>
        </w:rPr>
        <w:t xml:space="preserve">late </w:t>
      </w:r>
      <w:r w:rsidR="00694136">
        <w:rPr>
          <w:rFonts w:ascii="Book Antiqua" w:hAnsi="Book Antiqua"/>
        </w:rPr>
        <w:t xml:space="preserve">Holy Father’s </w:t>
      </w:r>
      <w:r w:rsidR="002B2004">
        <w:rPr>
          <w:rFonts w:ascii="Book Antiqua" w:hAnsi="Book Antiqua"/>
        </w:rPr>
        <w:t>early allocutions were greeted.  Having inquired as to how one could read them</w:t>
      </w:r>
      <w:r w:rsidR="00E96995">
        <w:rPr>
          <w:rFonts w:ascii="Book Antiqua" w:hAnsi="Book Antiqua"/>
        </w:rPr>
        <w:t xml:space="preserve"> </w:t>
      </w:r>
      <w:r w:rsidR="00E96995" w:rsidRPr="00E96995">
        <w:rPr>
          <w:rFonts w:ascii="Book Antiqua" w:hAnsi="Book Antiqua"/>
          <w:i/>
        </w:rPr>
        <w:t>in toto</w:t>
      </w:r>
      <w:r w:rsidR="002B2004">
        <w:rPr>
          <w:rFonts w:ascii="Book Antiqua" w:hAnsi="Book Antiqua"/>
        </w:rPr>
        <w:t xml:space="preserve">, late in 1979 I subscribed to the English edition of </w:t>
      </w:r>
      <w:r w:rsidR="002B2004" w:rsidRPr="002B2004">
        <w:rPr>
          <w:rFonts w:ascii="Book Antiqua" w:hAnsi="Book Antiqua"/>
          <w:i/>
        </w:rPr>
        <w:t>L’Osservatore Romano</w:t>
      </w:r>
      <w:r w:rsidR="002B2004">
        <w:rPr>
          <w:rFonts w:ascii="Book Antiqua" w:hAnsi="Book Antiqua"/>
        </w:rPr>
        <w:t xml:space="preserve">.  I had no idea there was such a thing; not a lot of copies came to the zip code where I lived on the far </w:t>
      </w:r>
      <w:r w:rsidR="002B2004">
        <w:rPr>
          <w:rFonts w:ascii="Book Antiqua" w:hAnsi="Book Antiqua"/>
        </w:rPr>
        <w:lastRenderedPageBreak/>
        <w:t xml:space="preserve">reaches of the Dakota Prairie.  </w:t>
      </w:r>
      <w:r w:rsidR="00E96995">
        <w:rPr>
          <w:rFonts w:ascii="Book Antiqua" w:hAnsi="Book Antiqua"/>
        </w:rPr>
        <w:t xml:space="preserve">Browsing the rest of the first few issues, I understood why.  The remainder of the articles had this in common with Italian wines – they didn’t export well.  But the allocutions themselves were </w:t>
      </w:r>
      <w:r w:rsidR="00B74AA6">
        <w:rPr>
          <w:rFonts w:ascii="Book Antiqua" w:hAnsi="Book Antiqua"/>
        </w:rPr>
        <w:t>fine wine, indeed</w:t>
      </w:r>
      <w:r w:rsidR="00E96995">
        <w:rPr>
          <w:rFonts w:ascii="Book Antiqua" w:hAnsi="Book Antiqua"/>
        </w:rPr>
        <w:t xml:space="preserve">.  </w:t>
      </w:r>
      <w:r w:rsidR="00F3225D">
        <w:rPr>
          <w:rFonts w:ascii="Book Antiqua" w:hAnsi="Book Antiqua"/>
        </w:rPr>
        <w:t xml:space="preserve">I read them avidly, and took copious notes.  </w:t>
      </w:r>
      <w:r w:rsidR="00E96995">
        <w:rPr>
          <w:rFonts w:ascii="Book Antiqua" w:hAnsi="Book Antiqua"/>
        </w:rPr>
        <w:t xml:space="preserve">Who could have imagined a </w:t>
      </w:r>
      <w:r w:rsidR="0059567F">
        <w:rPr>
          <w:rFonts w:ascii="Book Antiqua" w:hAnsi="Book Antiqua"/>
        </w:rPr>
        <w:t xml:space="preserve">papal </w:t>
      </w:r>
      <w:r w:rsidR="00E96995">
        <w:rPr>
          <w:rFonts w:ascii="Book Antiqua" w:hAnsi="Book Antiqua"/>
        </w:rPr>
        <w:t>phenomenology of nakedness?  He wasn’t yet John Paul the Great, but he was clearly well on his way.</w:t>
      </w:r>
    </w:p>
    <w:p w:rsidR="00AA6B61" w:rsidRDefault="00AA6B61" w:rsidP="00002C32">
      <w:pPr>
        <w:tabs>
          <w:tab w:val="left" w:pos="0"/>
        </w:tabs>
        <w:spacing w:after="120"/>
        <w:ind w:firstLine="720"/>
        <w:rPr>
          <w:rFonts w:ascii="Book Antiqua" w:hAnsi="Book Antiqua"/>
        </w:rPr>
      </w:pPr>
      <w:r>
        <w:rPr>
          <w:rFonts w:ascii="Book Antiqua" w:hAnsi="Book Antiqua"/>
        </w:rPr>
        <w:t>I mention this background only to assure you that I am not dismissive</w:t>
      </w:r>
      <w:r w:rsidR="00F01F56">
        <w:rPr>
          <w:rFonts w:ascii="Book Antiqua" w:hAnsi="Book Antiqua"/>
        </w:rPr>
        <w:t xml:space="preserve"> of what I continue to regard as</w:t>
      </w:r>
      <w:r>
        <w:rPr>
          <w:rFonts w:ascii="Book Antiqua" w:hAnsi="Book Antiqua"/>
        </w:rPr>
        <w:t xml:space="preserve"> the “</w:t>
      </w:r>
      <w:r w:rsidR="003444E9">
        <w:rPr>
          <w:rFonts w:ascii="Book Antiqua" w:hAnsi="Book Antiqua"/>
        </w:rPr>
        <w:t xml:space="preserve">permanently valid” </w:t>
      </w:r>
      <w:r>
        <w:rPr>
          <w:rFonts w:ascii="Book Antiqua" w:hAnsi="Book Antiqua"/>
        </w:rPr>
        <w:t>achievement</w:t>
      </w:r>
      <w:r w:rsidR="003B56F9">
        <w:rPr>
          <w:rStyle w:val="FootnoteReference"/>
          <w:rFonts w:ascii="Book Antiqua" w:hAnsi="Book Antiqua"/>
        </w:rPr>
        <w:footnoteReference w:id="20"/>
      </w:r>
      <w:r>
        <w:rPr>
          <w:rFonts w:ascii="Book Antiqua" w:hAnsi="Book Antiqua"/>
        </w:rPr>
        <w:t xml:space="preserve"> </w:t>
      </w:r>
      <w:r w:rsidR="003B56F9">
        <w:rPr>
          <w:rFonts w:ascii="Book Antiqua" w:hAnsi="Book Antiqua"/>
        </w:rPr>
        <w:t>of Pope John Paul’s reflections.  In fact, when last year’s legislature placed this measure on the ballot, and I determined</w:t>
      </w:r>
      <w:r w:rsidR="00B405A5">
        <w:rPr>
          <w:rFonts w:ascii="Book Antiqua" w:hAnsi="Book Antiqua"/>
        </w:rPr>
        <w:t xml:space="preserve"> that I should, and would, spend</w:t>
      </w:r>
      <w:r w:rsidR="003B56F9">
        <w:rPr>
          <w:rFonts w:ascii="Book Antiqua" w:hAnsi="Book Antiqua"/>
        </w:rPr>
        <w:t xml:space="preserve"> the next year or so thinking and re-thinking about such things, this was where I began.  Ah, the terror of aging, in which ‘thinking about sex’ means dusting off decades-old notes about a set of papal allocutions!</w:t>
      </w:r>
      <w:r w:rsidR="00655AD4">
        <w:rPr>
          <w:rFonts w:ascii="Book Antiqua" w:hAnsi="Book Antiqua"/>
        </w:rPr>
        <w:t xml:space="preserve">  However pathetic that thought, a dual encounter ensued, both with the mind of the pope and with the mind of a (chronologically) younger self.</w:t>
      </w:r>
    </w:p>
    <w:p w:rsidR="009B0054" w:rsidRDefault="009B0054" w:rsidP="00002C32">
      <w:pPr>
        <w:tabs>
          <w:tab w:val="left" w:pos="0"/>
        </w:tabs>
        <w:spacing w:after="120"/>
        <w:ind w:firstLine="720"/>
        <w:rPr>
          <w:rFonts w:ascii="Book Antiqua" w:hAnsi="Book Antiqua"/>
        </w:rPr>
      </w:pPr>
      <w:r>
        <w:rPr>
          <w:rFonts w:ascii="Book Antiqua" w:hAnsi="Book Antiqua"/>
        </w:rPr>
        <w:t>This re-reading still found me saying “Wow!” quite regularly, as my notes made clear that I had long ago.</w:t>
      </w:r>
      <w:r w:rsidR="00181675">
        <w:rPr>
          <w:rFonts w:ascii="Book Antiqua" w:hAnsi="Book Antiqua"/>
        </w:rPr>
        <w:t xml:space="preserve">  But I also found myself nodding in agreement with three quibbling questions which I had jotted down way back t</w:t>
      </w:r>
      <w:r w:rsidR="005463B7">
        <w:rPr>
          <w:rFonts w:ascii="Book Antiqua" w:hAnsi="Book Antiqua"/>
        </w:rPr>
        <w:t>hen and way out there</w:t>
      </w:r>
      <w:r w:rsidR="00181675">
        <w:rPr>
          <w:rFonts w:ascii="Book Antiqua" w:hAnsi="Book Antiqua"/>
        </w:rPr>
        <w:t>.  A few new questions emerged, as well.</w:t>
      </w:r>
    </w:p>
    <w:p w:rsidR="00AB3C4D" w:rsidRDefault="00AB3C4D" w:rsidP="00002C32">
      <w:pPr>
        <w:tabs>
          <w:tab w:val="left" w:pos="0"/>
        </w:tabs>
        <w:spacing w:after="120"/>
        <w:ind w:firstLine="720"/>
        <w:rPr>
          <w:rFonts w:ascii="Book Antiqua" w:hAnsi="Book Antiqua"/>
        </w:rPr>
      </w:pPr>
      <w:r>
        <w:rPr>
          <w:rFonts w:ascii="Book Antiqua" w:hAnsi="Book Antiqua"/>
        </w:rPr>
        <w:t>The ‘Wow!’s pertain to the pope’s powerful phenomenological perceptions of the meaning of “original experience” of human sexual differentiation as referring to “not so much their distance in time, as rather their basic significance,” experiences that are “so intermingled with the ordinary things of life that we do not generally notice their extraordinary character.”</w:t>
      </w:r>
      <w:r>
        <w:rPr>
          <w:rStyle w:val="FootnoteReference"/>
          <w:rFonts w:ascii="Book Antiqua" w:hAnsi="Book Antiqua"/>
        </w:rPr>
        <w:footnoteReference w:id="21"/>
      </w:r>
      <w:r>
        <w:rPr>
          <w:rFonts w:ascii="Book Antiqua" w:hAnsi="Book Antiqua"/>
        </w:rPr>
        <w:t xml:space="preserve">  These reflections evoked powerful personal reflections on the experienced reality of solitude, communion, shame, innocence, nakedness, fear, gift-giving and –receiving.  They enabled a reading of Genesis which allowed the sparse narrative to help us tell our lives as a story that is both ours and God’s – the inspired text providing the direction of the story, with the actual details literally ‘fleshed out’ by the concrete contours of the reader’s own life.</w:t>
      </w:r>
    </w:p>
    <w:p w:rsidR="00AB3C4D" w:rsidRDefault="00AB3C4D" w:rsidP="006655CB">
      <w:pPr>
        <w:tabs>
          <w:tab w:val="left" w:pos="0"/>
        </w:tabs>
        <w:spacing w:after="120"/>
        <w:ind w:firstLine="720"/>
        <w:rPr>
          <w:rFonts w:ascii="Book Antiqua" w:hAnsi="Book Antiqua"/>
        </w:rPr>
      </w:pPr>
      <w:r>
        <w:rPr>
          <w:rFonts w:ascii="Book Antiqua" w:hAnsi="Book Antiqua"/>
        </w:rPr>
        <w:t xml:space="preserve">Only in retrospect do I notice that </w:t>
      </w:r>
      <w:r w:rsidR="00790A7F">
        <w:rPr>
          <w:rFonts w:ascii="Book Antiqua" w:hAnsi="Book Antiqua"/>
        </w:rPr>
        <w:t>my</w:t>
      </w:r>
      <w:r>
        <w:rPr>
          <w:rFonts w:ascii="Book Antiqua" w:hAnsi="Book Antiqua"/>
        </w:rPr>
        <w:t xml:space="preserve"> reading of the sacred text was Ignatian, rather than Husserlian.  I could never have stated it this way at the time, but it’s clear that I was engaged in ‘composition of place’ and ‘application of the senses,’ in an attempt to ‘discern’ the movement of ‘spirits’ in my “unique and unrepeatable”</w:t>
      </w:r>
      <w:r>
        <w:rPr>
          <w:rStyle w:val="FootnoteReference"/>
          <w:rFonts w:ascii="Book Antiqua" w:hAnsi="Book Antiqua"/>
        </w:rPr>
        <w:footnoteReference w:id="22"/>
      </w:r>
      <w:r>
        <w:rPr>
          <w:rFonts w:ascii="Book Antiqua" w:hAnsi="Book Antiqua"/>
        </w:rPr>
        <w:t xml:space="preserve"> life</w:t>
      </w:r>
      <w:r w:rsidR="00E16F5C">
        <w:rPr>
          <w:rFonts w:ascii="Book Antiqua" w:hAnsi="Book Antiqua"/>
        </w:rPr>
        <w:t xml:space="preserve">, and </w:t>
      </w:r>
      <w:r w:rsidR="006655CB">
        <w:rPr>
          <w:rFonts w:ascii="Book Antiqua" w:hAnsi="Book Antiqua"/>
        </w:rPr>
        <w:t xml:space="preserve">expected that others who </w:t>
      </w:r>
      <w:r w:rsidR="00E16F5C">
        <w:rPr>
          <w:rFonts w:ascii="Book Antiqua" w:hAnsi="Book Antiqua"/>
        </w:rPr>
        <w:t xml:space="preserve">came to the Garden through John Paul’s insights would engage in similarly “unique and </w:t>
      </w:r>
      <w:r w:rsidR="00E16F5C">
        <w:rPr>
          <w:rFonts w:ascii="Book Antiqua" w:hAnsi="Book Antiqua"/>
        </w:rPr>
        <w:lastRenderedPageBreak/>
        <w:t>unrepeatable” readings.  There seemed a solitude shared by all, yet uniquely shaped in each and all.  So, too, communion, a call to all, yet each communing “unique and unrepeatable.”  In the papal pointing toward “subjectivity,”</w:t>
      </w:r>
      <w:r w:rsidR="00E16F5C">
        <w:rPr>
          <w:rStyle w:val="FootnoteReference"/>
          <w:rFonts w:ascii="Book Antiqua" w:hAnsi="Book Antiqua"/>
        </w:rPr>
        <w:footnoteReference w:id="23"/>
      </w:r>
      <w:r w:rsidR="00E16F5C">
        <w:rPr>
          <w:rFonts w:ascii="Book Antiqua" w:hAnsi="Book Antiqua"/>
        </w:rPr>
        <w:t xml:space="preserve"> I saw an invitation to engage in reflection on sexual </w:t>
      </w:r>
      <w:r w:rsidR="00E16F5C" w:rsidRPr="002762AE">
        <w:rPr>
          <w:rFonts w:ascii="Book Antiqua" w:hAnsi="Book Antiqua"/>
          <w:i/>
        </w:rPr>
        <w:t>spiritual</w:t>
      </w:r>
      <w:r w:rsidR="00C15D71">
        <w:rPr>
          <w:rFonts w:ascii="Book Antiqua" w:hAnsi="Book Antiqua"/>
          <w:i/>
        </w:rPr>
        <w:t>i</w:t>
      </w:r>
      <w:r w:rsidR="00E16F5C" w:rsidRPr="002762AE">
        <w:rPr>
          <w:rFonts w:ascii="Book Antiqua" w:hAnsi="Book Antiqua"/>
          <w:i/>
        </w:rPr>
        <w:t>ty,</w:t>
      </w:r>
      <w:r w:rsidR="00E16F5C">
        <w:rPr>
          <w:rFonts w:ascii="Book Antiqua" w:hAnsi="Book Antiqua"/>
        </w:rPr>
        <w:t xml:space="preserve"> more basic and profound than the sexual </w:t>
      </w:r>
      <w:r w:rsidR="00E16F5C" w:rsidRPr="002762AE">
        <w:rPr>
          <w:rFonts w:ascii="Book Antiqua" w:hAnsi="Book Antiqua"/>
          <w:i/>
        </w:rPr>
        <w:t>morality</w:t>
      </w:r>
      <w:r w:rsidR="00E16F5C">
        <w:rPr>
          <w:rFonts w:ascii="Book Antiqua" w:hAnsi="Book Antiqua"/>
        </w:rPr>
        <w:t xml:space="preserve"> into which our tradition seemed to have hardened.</w:t>
      </w:r>
      <w:r w:rsidR="002762AE">
        <w:rPr>
          <w:rFonts w:ascii="Book Antiqua" w:hAnsi="Book Antiqua"/>
        </w:rPr>
        <w:t xml:space="preserve">  This, I see in retrospect, was something of a mistaken reading, yet, </w:t>
      </w:r>
      <w:r w:rsidR="002762AE" w:rsidRPr="002762AE">
        <w:rPr>
          <w:rFonts w:ascii="Book Antiqua" w:hAnsi="Book Antiqua"/>
          <w:i/>
        </w:rPr>
        <w:t>felix culpa</w:t>
      </w:r>
      <w:r w:rsidR="002762AE">
        <w:rPr>
          <w:rFonts w:ascii="Book Antiqua" w:hAnsi="Book Antiqua"/>
        </w:rPr>
        <w:t>!, a mistake that opens to possibilities for personal discernment more spiritual</w:t>
      </w:r>
      <w:r w:rsidR="00C15D71">
        <w:rPr>
          <w:rFonts w:ascii="Book Antiqua" w:hAnsi="Book Antiqua"/>
        </w:rPr>
        <w:t>l</w:t>
      </w:r>
      <w:r w:rsidR="002762AE">
        <w:rPr>
          <w:rFonts w:ascii="Book Antiqua" w:hAnsi="Book Antiqua"/>
        </w:rPr>
        <w:t>y shattering than much of the theology to which the allocutions have subsequently given rise.</w:t>
      </w:r>
    </w:p>
    <w:p w:rsidR="00C15D71" w:rsidRDefault="00C15D71" w:rsidP="00E16F5C">
      <w:pPr>
        <w:tabs>
          <w:tab w:val="left" w:pos="0"/>
        </w:tabs>
        <w:spacing w:after="120"/>
        <w:rPr>
          <w:rFonts w:ascii="Book Antiqua" w:hAnsi="Book Antiqua"/>
        </w:rPr>
      </w:pPr>
      <w:r>
        <w:rPr>
          <w:rFonts w:ascii="Book Antiqua" w:hAnsi="Book Antiqua"/>
        </w:rPr>
        <w:tab/>
        <w:t>A final ‘Wow!’</w:t>
      </w:r>
      <w:r w:rsidR="00790A7F">
        <w:rPr>
          <w:rFonts w:ascii="Book Antiqua" w:hAnsi="Book Antiqua"/>
        </w:rPr>
        <w:t xml:space="preserve"> stunned me</w:t>
      </w:r>
      <w:r>
        <w:rPr>
          <w:rFonts w:ascii="Book Antiqua" w:hAnsi="Book Antiqua"/>
        </w:rPr>
        <w:t xml:space="preserve"> – Pope John Paul’s reflections on the man’s delight in his first glimpse of the woman seemed to stem from a man who knew the experience, who himself foun</w:t>
      </w:r>
      <w:r w:rsidR="00F37235">
        <w:rPr>
          <w:rFonts w:ascii="Book Antiqua" w:hAnsi="Book Antiqua"/>
        </w:rPr>
        <w:t>d delight in the company of wome</w:t>
      </w:r>
      <w:r>
        <w:rPr>
          <w:rFonts w:ascii="Book Antiqua" w:hAnsi="Book Antiqua"/>
        </w:rPr>
        <w:t xml:space="preserve">n (unless, as we later discovered, they happened to be uppity nuns).  My notes refer to a translation of the text from a commentary I consulted at the time, the source of which I did not note and cannot </w:t>
      </w:r>
      <w:r w:rsidR="00536D13">
        <w:rPr>
          <w:rFonts w:ascii="Book Antiqua" w:hAnsi="Book Antiqua"/>
        </w:rPr>
        <w:t xml:space="preserve">now </w:t>
      </w:r>
      <w:r>
        <w:rPr>
          <w:rFonts w:ascii="Book Antiqua" w:hAnsi="Book Antiqua"/>
        </w:rPr>
        <w:t xml:space="preserve">remember, which suggested that the </w:t>
      </w:r>
      <w:r w:rsidR="00F66E0A">
        <w:rPr>
          <w:rFonts w:ascii="Book Antiqua" w:hAnsi="Book Antiqua"/>
        </w:rPr>
        <w:t>sense of the verse could be best</w:t>
      </w:r>
      <w:r>
        <w:rPr>
          <w:rFonts w:ascii="Book Antiqua" w:hAnsi="Book Antiqua"/>
        </w:rPr>
        <w:t xml:space="preserve"> rendered by placing a colloquial “Aha!” at the beginning of </w:t>
      </w:r>
      <w:r w:rsidR="00BB6FD3">
        <w:rPr>
          <w:rFonts w:ascii="Book Antiqua" w:hAnsi="Book Antiqua"/>
        </w:rPr>
        <w:t xml:space="preserve">the </w:t>
      </w:r>
      <w:r>
        <w:rPr>
          <w:rFonts w:ascii="Book Antiqua" w:hAnsi="Book Antiqua"/>
        </w:rPr>
        <w:t>text:  “Aha!  This, at last is bone of my bone, flesh of my flesh.”  There was a suggesti</w:t>
      </w:r>
      <w:r w:rsidR="00790A7F">
        <w:rPr>
          <w:rFonts w:ascii="Book Antiqua" w:hAnsi="Book Antiqua"/>
        </w:rPr>
        <w:t>on</w:t>
      </w:r>
      <w:r>
        <w:rPr>
          <w:rFonts w:ascii="Book Antiqua" w:hAnsi="Book Antiqua"/>
        </w:rPr>
        <w:t xml:space="preserve"> of joyousness in this that seemed apt to the pope’s own phenomenological insight</w:t>
      </w:r>
      <w:r w:rsidR="00625E8B">
        <w:rPr>
          <w:rFonts w:ascii="Book Antiqua" w:hAnsi="Book Antiqua"/>
        </w:rPr>
        <w:t xml:space="preserve">, and which seemed suggestive of a spirituality more attuned to the reality of experience than was </w:t>
      </w:r>
      <w:r w:rsidR="001A50A6">
        <w:rPr>
          <w:rFonts w:ascii="Book Antiqua" w:hAnsi="Book Antiqua"/>
        </w:rPr>
        <w:t>most moral theology, in which “A</w:t>
      </w:r>
      <w:r w:rsidR="00625E8B">
        <w:rPr>
          <w:rFonts w:ascii="Book Antiqua" w:hAnsi="Book Antiqua"/>
        </w:rPr>
        <w:t>ha!”s were few and far between.</w:t>
      </w:r>
    </w:p>
    <w:p w:rsidR="00181675" w:rsidRDefault="007B07B5" w:rsidP="00002C32">
      <w:pPr>
        <w:tabs>
          <w:tab w:val="left" w:pos="0"/>
        </w:tabs>
        <w:spacing w:after="120"/>
        <w:ind w:firstLine="720"/>
        <w:rPr>
          <w:rFonts w:ascii="Book Antiqua" w:hAnsi="Book Antiqua"/>
        </w:rPr>
      </w:pPr>
      <w:r>
        <w:rPr>
          <w:rFonts w:ascii="Book Antiqua" w:hAnsi="Book Antiqua"/>
        </w:rPr>
        <w:t xml:space="preserve">At the time, though, I also had a few stumbling reservations about what I was reading.  </w:t>
      </w:r>
      <w:r w:rsidR="00181675">
        <w:rPr>
          <w:rFonts w:ascii="Book Antiqua" w:hAnsi="Book Antiqua"/>
        </w:rPr>
        <w:t>My first discordant note</w:t>
      </w:r>
      <w:r w:rsidR="00BB0751">
        <w:rPr>
          <w:rFonts w:ascii="Book Antiqua" w:hAnsi="Book Antiqua"/>
        </w:rPr>
        <w:t xml:space="preserve"> pertained to the allocution of September 26, 1979.  In paragraph 3, John Paul cites Romans 8.23:</w:t>
      </w:r>
    </w:p>
    <w:p w:rsidR="00BB0751" w:rsidRDefault="00BB0751" w:rsidP="00BB0751">
      <w:pPr>
        <w:tabs>
          <w:tab w:val="left" w:pos="720"/>
        </w:tabs>
        <w:spacing w:after="120"/>
        <w:ind w:left="720" w:right="720"/>
        <w:rPr>
          <w:rFonts w:ascii="Book Antiqua" w:hAnsi="Book Antiqua"/>
        </w:rPr>
      </w:pPr>
      <w:r>
        <w:rPr>
          <w:rFonts w:ascii="Book Antiqua" w:hAnsi="Book Antiqua"/>
          <w:sz w:val="20"/>
          <w:szCs w:val="20"/>
        </w:rPr>
        <w:t>. . . we ourselves, who have the first fruits of the Spirit, groan inwardly as we wait for. . . the redemption of our bodies.</w:t>
      </w:r>
    </w:p>
    <w:p w:rsidR="00BB0751" w:rsidRDefault="00BB0751" w:rsidP="00BB0751">
      <w:pPr>
        <w:tabs>
          <w:tab w:val="left" w:pos="0"/>
        </w:tabs>
        <w:spacing w:after="120"/>
        <w:rPr>
          <w:rFonts w:ascii="Book Antiqua" w:hAnsi="Book Antiqua"/>
        </w:rPr>
      </w:pPr>
      <w:r>
        <w:rPr>
          <w:rFonts w:ascii="Book Antiqua" w:hAnsi="Book Antiqua"/>
        </w:rPr>
        <w:t>Yet later in the same paragraph, referring back to this citation, using quotation marks and all, he writes “redemption of the body.”</w:t>
      </w:r>
      <w:r>
        <w:rPr>
          <w:rStyle w:val="FootnoteReference"/>
          <w:rFonts w:ascii="Book Antiqua" w:hAnsi="Book Antiqua"/>
        </w:rPr>
        <w:footnoteReference w:id="24"/>
      </w:r>
      <w:r>
        <w:rPr>
          <w:rFonts w:ascii="Book Antiqua" w:hAnsi="Book Antiqua"/>
        </w:rPr>
        <w:t xml:space="preserve">  My notes reflect both puzzlement and concern:</w:t>
      </w:r>
    </w:p>
    <w:p w:rsidR="008013C2" w:rsidRDefault="00FE1897" w:rsidP="00BB0751">
      <w:pPr>
        <w:tabs>
          <w:tab w:val="left" w:pos="0"/>
        </w:tabs>
        <w:spacing w:after="120"/>
        <w:rPr>
          <w:rFonts w:ascii="Book Antiqua" w:hAnsi="Book Antiqua"/>
          <w:sz w:val="20"/>
          <w:szCs w:val="20"/>
        </w:rPr>
      </w:pPr>
      <w:r w:rsidRPr="00FE1897">
        <w:rPr>
          <w:rFonts w:ascii="Book Antiqua" w:hAnsi="Book Antiqua"/>
          <w:noProof/>
        </w:rPr>
        <w:pict>
          <v:shapetype id="_x0000_t32" coordsize="21600,21600" o:spt="32" o:oned="t" path="m,l21600,21600e" filled="f">
            <v:path arrowok="t" fillok="f" o:connecttype="none"/>
            <o:lock v:ext="edit" shapetype="t"/>
          </v:shapetype>
          <v:shape id="_x0000_s1026" type="#_x0000_t32" style="position:absolute;margin-left:92.3pt;margin-top:6.35pt;width:16.2pt;height:0;z-index:251658240" o:connectortype="straight">
            <v:stroke endarrow="block"/>
          </v:shape>
        </w:pict>
      </w:r>
      <w:r w:rsidR="00BB0751">
        <w:rPr>
          <w:rFonts w:ascii="Book Antiqua" w:hAnsi="Book Antiqua"/>
        </w:rPr>
        <w:tab/>
      </w:r>
      <w:r w:rsidR="00BB0751">
        <w:rPr>
          <w:rFonts w:ascii="Book Antiqua" w:hAnsi="Book Antiqua"/>
          <w:sz w:val="20"/>
          <w:szCs w:val="20"/>
        </w:rPr>
        <w:t>“</w:t>
      </w:r>
      <w:r w:rsidR="00BB0751" w:rsidRPr="00BB0751">
        <w:rPr>
          <w:rFonts w:ascii="Book Antiqua" w:hAnsi="Book Antiqua"/>
          <w:sz w:val="20"/>
          <w:szCs w:val="20"/>
          <w:u w:val="single"/>
        </w:rPr>
        <w:t>our</w:t>
      </w:r>
      <w:r w:rsidR="00BB0751">
        <w:rPr>
          <w:rFonts w:ascii="Book Antiqua" w:hAnsi="Book Antiqua"/>
          <w:sz w:val="20"/>
          <w:szCs w:val="20"/>
        </w:rPr>
        <w:t xml:space="preserve"> bod</w:t>
      </w:r>
      <w:r w:rsidR="00BB0751" w:rsidRPr="00BB0751">
        <w:rPr>
          <w:rFonts w:ascii="Book Antiqua" w:hAnsi="Book Antiqua"/>
          <w:sz w:val="20"/>
          <w:szCs w:val="20"/>
          <w:u w:val="single"/>
        </w:rPr>
        <w:t>ies</w:t>
      </w:r>
      <w:r w:rsidR="00BB0751">
        <w:rPr>
          <w:rFonts w:ascii="Book Antiqua" w:hAnsi="Book Antiqua"/>
          <w:sz w:val="20"/>
          <w:szCs w:val="20"/>
        </w:rPr>
        <w:t>”</w:t>
      </w:r>
      <w:r w:rsidR="002D0A45">
        <w:rPr>
          <w:rFonts w:ascii="Book Antiqua" w:hAnsi="Book Antiqua"/>
          <w:sz w:val="20"/>
          <w:szCs w:val="20"/>
        </w:rPr>
        <w:tab/>
        <w:t>“</w:t>
      </w:r>
      <w:r w:rsidR="002D0A45" w:rsidRPr="002D0A45">
        <w:rPr>
          <w:rFonts w:ascii="Book Antiqua" w:hAnsi="Book Antiqua"/>
          <w:sz w:val="20"/>
          <w:szCs w:val="20"/>
          <w:u w:val="single"/>
        </w:rPr>
        <w:t>the</w:t>
      </w:r>
      <w:r w:rsidR="002D0A45">
        <w:rPr>
          <w:rFonts w:ascii="Book Antiqua" w:hAnsi="Book Antiqua"/>
          <w:sz w:val="20"/>
          <w:szCs w:val="20"/>
        </w:rPr>
        <w:t xml:space="preserve"> bod</w:t>
      </w:r>
      <w:r w:rsidR="002D0A45" w:rsidRPr="002D0A45">
        <w:rPr>
          <w:rFonts w:ascii="Book Antiqua" w:hAnsi="Book Antiqua"/>
          <w:sz w:val="20"/>
          <w:szCs w:val="20"/>
          <w:u w:val="single"/>
        </w:rPr>
        <w:t>y</w:t>
      </w:r>
      <w:r w:rsidR="002D0A45">
        <w:rPr>
          <w:rFonts w:ascii="Book Antiqua" w:hAnsi="Book Antiqua"/>
          <w:sz w:val="20"/>
          <w:szCs w:val="20"/>
        </w:rPr>
        <w:t>” ???</w:t>
      </w:r>
      <w:r w:rsidR="00333490">
        <w:rPr>
          <w:rFonts w:ascii="Book Antiqua" w:hAnsi="Book Antiqua"/>
          <w:sz w:val="20"/>
          <w:szCs w:val="20"/>
        </w:rPr>
        <w:t>!!!</w:t>
      </w:r>
    </w:p>
    <w:p w:rsidR="00374818" w:rsidRDefault="00374818" w:rsidP="00374818">
      <w:pPr>
        <w:tabs>
          <w:tab w:val="left" w:pos="0"/>
        </w:tabs>
        <w:spacing w:after="120"/>
        <w:rPr>
          <w:rFonts w:ascii="Book Antiqua" w:hAnsi="Book Antiqua"/>
        </w:rPr>
      </w:pPr>
      <w:r>
        <w:rPr>
          <w:rFonts w:ascii="Book Antiqua" w:hAnsi="Book Antiqua"/>
        </w:rPr>
        <w:t>This didn’t/doesn’t seem to be merely</w:t>
      </w:r>
      <w:r w:rsidR="001260AD">
        <w:rPr>
          <w:rFonts w:ascii="Book Antiqua" w:hAnsi="Book Antiqua"/>
        </w:rPr>
        <w:t xml:space="preserve"> a matter of translation or typography</w:t>
      </w:r>
      <w:r>
        <w:rPr>
          <w:rFonts w:ascii="Book Antiqua" w:hAnsi="Book Antiqua"/>
        </w:rPr>
        <w:t xml:space="preserve">.  There seem to be quite </w:t>
      </w:r>
      <w:r w:rsidR="00360BBD">
        <w:rPr>
          <w:rFonts w:ascii="Book Antiqua" w:hAnsi="Book Antiqua"/>
        </w:rPr>
        <w:t>significantly</w:t>
      </w:r>
      <w:r>
        <w:rPr>
          <w:rFonts w:ascii="Book Antiqua" w:hAnsi="Book Antiqua"/>
        </w:rPr>
        <w:t xml:space="preserve"> different connotations between the Pauline and </w:t>
      </w:r>
      <w:r w:rsidR="00360BBD">
        <w:rPr>
          <w:rFonts w:ascii="Book Antiqua" w:hAnsi="Book Antiqua"/>
        </w:rPr>
        <w:t xml:space="preserve">the </w:t>
      </w:r>
      <w:r>
        <w:rPr>
          <w:rFonts w:ascii="Book Antiqua" w:hAnsi="Book Antiqua"/>
        </w:rPr>
        <w:t>John-Pauline language.</w:t>
      </w:r>
    </w:p>
    <w:p w:rsidR="00F11606" w:rsidRPr="008013C2" w:rsidRDefault="00F11606" w:rsidP="008013C2">
      <w:pPr>
        <w:tabs>
          <w:tab w:val="left" w:pos="0"/>
        </w:tabs>
        <w:spacing w:after="120"/>
        <w:ind w:firstLine="720"/>
        <w:rPr>
          <w:rFonts w:ascii="Book Antiqua" w:hAnsi="Book Antiqua"/>
          <w:sz w:val="20"/>
          <w:szCs w:val="20"/>
        </w:rPr>
      </w:pPr>
      <w:r>
        <w:rPr>
          <w:rFonts w:ascii="Book Antiqua" w:hAnsi="Book Antiqua"/>
        </w:rPr>
        <w:t>The second of my original questions pertained to the a</w:t>
      </w:r>
      <w:r w:rsidR="008013C2">
        <w:rPr>
          <w:rFonts w:ascii="Book Antiqua" w:hAnsi="Book Antiqua"/>
        </w:rPr>
        <w:t>llocution</w:t>
      </w:r>
      <w:r>
        <w:rPr>
          <w:rFonts w:ascii="Book Antiqua" w:hAnsi="Book Antiqua"/>
        </w:rPr>
        <w:t xml:space="preserve"> of October 10, 1979</w:t>
      </w:r>
      <w:r w:rsidR="008013C2">
        <w:rPr>
          <w:rFonts w:ascii="Book Antiqua" w:hAnsi="Book Antiqua"/>
        </w:rPr>
        <w:t>, concerning</w:t>
      </w:r>
      <w:r>
        <w:rPr>
          <w:rFonts w:ascii="Book Antiqua" w:hAnsi="Book Antiqua"/>
        </w:rPr>
        <w:t xml:space="preserve"> “the fundamental anthropological problem” of aloneness</w:t>
      </w:r>
      <w:r w:rsidR="008013C2">
        <w:rPr>
          <w:rFonts w:ascii="Book Antiqua" w:hAnsi="Book Antiqua"/>
        </w:rPr>
        <w:t xml:space="preserve"> (paragraph 3)</w:t>
      </w:r>
      <w:r>
        <w:rPr>
          <w:rFonts w:ascii="Book Antiqua" w:hAnsi="Book Antiqua"/>
        </w:rPr>
        <w:t>:</w:t>
      </w:r>
    </w:p>
    <w:p w:rsidR="00F11606" w:rsidRPr="00F11606" w:rsidRDefault="00F11606" w:rsidP="00F11606">
      <w:pPr>
        <w:tabs>
          <w:tab w:val="left" w:pos="720"/>
        </w:tabs>
        <w:spacing w:after="120"/>
        <w:ind w:left="720" w:right="720"/>
        <w:rPr>
          <w:rFonts w:ascii="Book Antiqua" w:hAnsi="Book Antiqua"/>
          <w:sz w:val="20"/>
          <w:szCs w:val="20"/>
        </w:rPr>
      </w:pPr>
      <w:r>
        <w:rPr>
          <w:rFonts w:ascii="Book Antiqua" w:hAnsi="Book Antiqua"/>
          <w:sz w:val="20"/>
          <w:szCs w:val="20"/>
        </w:rPr>
        <w:t>This problem is prior not so much in the chronological sense</w:t>
      </w:r>
      <w:r w:rsidR="008013C2">
        <w:rPr>
          <w:rFonts w:ascii="Book Antiqua" w:hAnsi="Book Antiqua"/>
          <w:sz w:val="20"/>
          <w:szCs w:val="20"/>
        </w:rPr>
        <w:t>, as in the existential sense</w:t>
      </w:r>
      <w:r>
        <w:rPr>
          <w:rFonts w:ascii="Book Antiqua" w:hAnsi="Book Antiqua"/>
          <w:sz w:val="20"/>
          <w:szCs w:val="20"/>
        </w:rPr>
        <w:t>:  it is prior by its very nature</w:t>
      </w:r>
      <w:r w:rsidR="008013C2">
        <w:rPr>
          <w:rFonts w:ascii="Book Antiqua" w:hAnsi="Book Antiqua"/>
          <w:sz w:val="20"/>
          <w:szCs w:val="20"/>
        </w:rPr>
        <w:t>.</w:t>
      </w:r>
      <w:r w:rsidR="008013C2">
        <w:rPr>
          <w:rStyle w:val="FootnoteReference"/>
          <w:rFonts w:ascii="Book Antiqua" w:hAnsi="Book Antiqua"/>
          <w:sz w:val="20"/>
          <w:szCs w:val="20"/>
        </w:rPr>
        <w:footnoteReference w:id="25"/>
      </w:r>
    </w:p>
    <w:p w:rsidR="008013C2" w:rsidRDefault="008013C2" w:rsidP="00004C0B">
      <w:pPr>
        <w:tabs>
          <w:tab w:val="left" w:pos="8640"/>
        </w:tabs>
        <w:spacing w:after="120"/>
        <w:rPr>
          <w:rFonts w:ascii="Book Antiqua" w:hAnsi="Book Antiqua"/>
        </w:rPr>
      </w:pPr>
      <w:r>
        <w:rPr>
          <w:rFonts w:ascii="Book Antiqua" w:hAnsi="Book Antiqua"/>
        </w:rPr>
        <w:t xml:space="preserve">Then, in paragraph 5, he explicates </w:t>
      </w:r>
      <w:r w:rsidR="00502D7B">
        <w:rPr>
          <w:rFonts w:ascii="Book Antiqua" w:hAnsi="Book Antiqua"/>
        </w:rPr>
        <w:t>the meaning of “its very nature:”</w:t>
      </w:r>
    </w:p>
    <w:p w:rsidR="008013C2" w:rsidRPr="00CC5653" w:rsidRDefault="00CC5653" w:rsidP="00110A3B">
      <w:pPr>
        <w:tabs>
          <w:tab w:val="left" w:pos="8640"/>
        </w:tabs>
        <w:spacing w:after="120"/>
        <w:ind w:left="720" w:right="720"/>
        <w:rPr>
          <w:rFonts w:ascii="Book Antiqua" w:hAnsi="Book Antiqua"/>
          <w:sz w:val="20"/>
          <w:szCs w:val="20"/>
        </w:rPr>
      </w:pPr>
      <w:r>
        <w:rPr>
          <w:rFonts w:ascii="Book Antiqua" w:hAnsi="Book Antiqua"/>
          <w:sz w:val="20"/>
          <w:szCs w:val="20"/>
        </w:rPr>
        <w:t>. . . the fact of not being able to identify himself essentially with the visible world of other living beings (</w:t>
      </w:r>
      <w:r>
        <w:rPr>
          <w:rFonts w:ascii="Book Antiqua" w:hAnsi="Book Antiqua"/>
          <w:i/>
          <w:sz w:val="20"/>
          <w:szCs w:val="20"/>
        </w:rPr>
        <w:t>animalia</w:t>
      </w:r>
      <w:r>
        <w:rPr>
          <w:rFonts w:ascii="Book Antiqua" w:hAnsi="Book Antiqua"/>
          <w:sz w:val="20"/>
          <w:szCs w:val="20"/>
        </w:rPr>
        <w:t xml:space="preserve">) has, at the same time, a positive aspect for this primary search.  </w:t>
      </w:r>
      <w:r>
        <w:rPr>
          <w:rFonts w:ascii="Book Antiqua" w:hAnsi="Book Antiqua"/>
          <w:sz w:val="20"/>
          <w:szCs w:val="20"/>
        </w:rPr>
        <w:lastRenderedPageBreak/>
        <w:t>Even if this fact is not yet a complete definition, it constitutes, however, one of its elements.  If we accept the Aristotelian tradition in logic and in anthropology, it would be necessary to define this element as the “proximate genus” (</w:t>
      </w:r>
      <w:r>
        <w:rPr>
          <w:rFonts w:ascii="Book Antiqua" w:hAnsi="Book Antiqua"/>
          <w:i/>
          <w:sz w:val="20"/>
          <w:szCs w:val="20"/>
        </w:rPr>
        <w:t>genus proximum</w:t>
      </w:r>
      <w:r>
        <w:rPr>
          <w:rFonts w:ascii="Book Antiqua" w:hAnsi="Book Antiqua"/>
          <w:sz w:val="20"/>
          <w:szCs w:val="20"/>
        </w:rPr>
        <w:t>).</w:t>
      </w:r>
      <w:r>
        <w:rPr>
          <w:rStyle w:val="FootnoteReference"/>
          <w:rFonts w:ascii="Book Antiqua" w:hAnsi="Book Antiqua"/>
          <w:sz w:val="20"/>
          <w:szCs w:val="20"/>
        </w:rPr>
        <w:footnoteReference w:id="26"/>
      </w:r>
    </w:p>
    <w:p w:rsidR="00CC5653" w:rsidRDefault="00CC5653" w:rsidP="00004C0B">
      <w:pPr>
        <w:tabs>
          <w:tab w:val="left" w:pos="8640"/>
        </w:tabs>
        <w:spacing w:after="120"/>
        <w:rPr>
          <w:rFonts w:ascii="Book Antiqua" w:hAnsi="Book Antiqua"/>
        </w:rPr>
      </w:pPr>
      <w:r>
        <w:rPr>
          <w:rFonts w:ascii="Book Antiqua" w:hAnsi="Book Antiqua"/>
        </w:rPr>
        <w:t>My notes are again cryptic, but, I think, clear:</w:t>
      </w:r>
    </w:p>
    <w:p w:rsidR="00CC5653" w:rsidRDefault="00CC5653" w:rsidP="00CC5653">
      <w:pPr>
        <w:tabs>
          <w:tab w:val="left" w:pos="8640"/>
        </w:tabs>
        <w:spacing w:after="120"/>
        <w:ind w:left="720" w:right="720"/>
        <w:rPr>
          <w:rFonts w:ascii="Book Antiqua" w:hAnsi="Book Antiqua"/>
          <w:sz w:val="20"/>
          <w:szCs w:val="20"/>
        </w:rPr>
      </w:pPr>
      <w:r w:rsidRPr="00CC5653">
        <w:rPr>
          <w:rFonts w:ascii="Book Antiqua" w:hAnsi="Book Antiqua"/>
          <w:sz w:val="20"/>
          <w:szCs w:val="20"/>
          <w:u w:val="single"/>
        </w:rPr>
        <w:t>existential</w:t>
      </w:r>
      <w:r>
        <w:rPr>
          <w:rFonts w:ascii="Book Antiqua" w:hAnsi="Book Antiqua"/>
          <w:sz w:val="20"/>
          <w:szCs w:val="20"/>
        </w:rPr>
        <w:t xml:space="preserve"> sense?  Wouldn’t Camus, Marcel call this </w:t>
      </w:r>
      <w:r w:rsidRPr="00CC5653">
        <w:rPr>
          <w:rFonts w:ascii="Book Antiqua" w:hAnsi="Book Antiqua"/>
          <w:sz w:val="20"/>
          <w:szCs w:val="20"/>
          <w:u w:val="single"/>
        </w:rPr>
        <w:t>essential</w:t>
      </w:r>
      <w:r w:rsidR="007E5C9A">
        <w:rPr>
          <w:rFonts w:ascii="Book Antiqua" w:hAnsi="Book Antiqua"/>
          <w:sz w:val="20"/>
          <w:szCs w:val="20"/>
        </w:rPr>
        <w:t xml:space="preserve"> sense?  Very nature / complete d</w:t>
      </w:r>
      <w:r>
        <w:rPr>
          <w:rFonts w:ascii="Book Antiqua" w:hAnsi="Book Antiqua"/>
          <w:sz w:val="20"/>
          <w:szCs w:val="20"/>
        </w:rPr>
        <w:t xml:space="preserve">efinition / Aristotelian anthropology </w:t>
      </w:r>
      <w:r w:rsidR="003E3E02">
        <w:rPr>
          <w:rFonts w:ascii="Book Antiqua" w:hAnsi="Book Antiqua"/>
          <w:sz w:val="20"/>
          <w:szCs w:val="20"/>
        </w:rPr>
        <w:t xml:space="preserve"> </w:t>
      </w:r>
      <w:r w:rsidR="00BF3265">
        <w:rPr>
          <w:rFonts w:ascii="Book Antiqua" w:hAnsi="Book Antiqua"/>
          <w:sz w:val="20"/>
          <w:szCs w:val="20"/>
        </w:rPr>
        <w:t>–</w:t>
      </w:r>
      <w:r w:rsidR="003E3E02">
        <w:rPr>
          <w:rFonts w:ascii="Book Antiqua" w:hAnsi="Book Antiqua"/>
          <w:sz w:val="20"/>
          <w:szCs w:val="20"/>
        </w:rPr>
        <w:t xml:space="preserve"> </w:t>
      </w:r>
      <w:r>
        <w:rPr>
          <w:rFonts w:ascii="Book Antiqua" w:hAnsi="Book Antiqua"/>
          <w:sz w:val="20"/>
          <w:szCs w:val="20"/>
        </w:rPr>
        <w:t xml:space="preserve"> </w:t>
      </w:r>
      <w:r w:rsidR="00BF3265">
        <w:rPr>
          <w:rFonts w:ascii="Book Antiqua" w:hAnsi="Book Antiqua"/>
          <w:sz w:val="20"/>
          <w:szCs w:val="20"/>
        </w:rPr>
        <w:t>Opposite of existential.  Isn’t it?</w:t>
      </w:r>
    </w:p>
    <w:p w:rsidR="0086474A" w:rsidRDefault="0086474A" w:rsidP="00A76D17">
      <w:pPr>
        <w:tabs>
          <w:tab w:val="left" w:pos="9360"/>
        </w:tabs>
        <w:spacing w:after="120"/>
        <w:rPr>
          <w:rFonts w:ascii="Book Antiqua" w:hAnsi="Book Antiqua"/>
        </w:rPr>
      </w:pPr>
      <w:r>
        <w:rPr>
          <w:rFonts w:ascii="Book Antiqua" w:hAnsi="Book Antiqua"/>
        </w:rPr>
        <w:t xml:space="preserve">Camus was a constant companion at the time, </w:t>
      </w:r>
      <w:r w:rsidRPr="0086474A">
        <w:rPr>
          <w:rFonts w:ascii="Book Antiqua" w:hAnsi="Book Antiqua"/>
          <w:i/>
        </w:rPr>
        <w:t>The Plague</w:t>
      </w:r>
      <w:r>
        <w:rPr>
          <w:rFonts w:ascii="Book Antiqua" w:hAnsi="Book Antiqua"/>
        </w:rPr>
        <w:t xml:space="preserve"> being a touchstone to which I still frequently return.  </w:t>
      </w:r>
      <w:r w:rsidR="00E64273">
        <w:rPr>
          <w:rFonts w:ascii="Book Antiqua" w:hAnsi="Book Antiqua"/>
        </w:rPr>
        <w:t xml:space="preserve">Marcel was a newer interest, courtesy of Walker Percy.  </w:t>
      </w:r>
      <w:r>
        <w:rPr>
          <w:rFonts w:ascii="Book Antiqua" w:hAnsi="Book Antiqua"/>
        </w:rPr>
        <w:t xml:space="preserve">I sensed that part of the promise of the pope’s reflections involved engagement </w:t>
      </w:r>
      <w:r w:rsidR="00A76D17">
        <w:rPr>
          <w:rFonts w:ascii="Book Antiqua" w:hAnsi="Book Antiqua"/>
        </w:rPr>
        <w:t>with</w:t>
      </w:r>
      <w:r w:rsidR="008F38EA">
        <w:rPr>
          <w:rFonts w:ascii="Book Antiqua" w:hAnsi="Book Antiqua"/>
        </w:rPr>
        <w:t xml:space="preserve"> such thinking.  Adam and Eve, to be sure, were really married.  But was the pope really engaged?</w:t>
      </w:r>
    </w:p>
    <w:p w:rsidR="00BF3265" w:rsidRDefault="00333490" w:rsidP="008F38EA">
      <w:pPr>
        <w:tabs>
          <w:tab w:val="left" w:pos="9360"/>
        </w:tabs>
        <w:spacing w:after="120"/>
        <w:ind w:firstLine="720"/>
        <w:rPr>
          <w:rFonts w:ascii="Book Antiqua" w:hAnsi="Book Antiqua"/>
        </w:rPr>
      </w:pPr>
      <w:r>
        <w:rPr>
          <w:rFonts w:ascii="Book Antiqua" w:hAnsi="Book Antiqua"/>
        </w:rPr>
        <w:t>Thirdly, o</w:t>
      </w:r>
      <w:r w:rsidR="00BF3265">
        <w:rPr>
          <w:rFonts w:ascii="Book Antiqua" w:hAnsi="Book Antiqua"/>
        </w:rPr>
        <w:t xml:space="preserve">n to March 12, 1980.  </w:t>
      </w:r>
      <w:r w:rsidR="008F38EA">
        <w:rPr>
          <w:rFonts w:ascii="Book Antiqua" w:hAnsi="Book Antiqua"/>
        </w:rPr>
        <w:t xml:space="preserve">Five months, and not a noted quibble!  Then </w:t>
      </w:r>
      <w:r w:rsidR="00BF3265">
        <w:rPr>
          <w:rFonts w:ascii="Book Antiqua" w:hAnsi="Book Antiqua"/>
        </w:rPr>
        <w:t>John Paul wrote:</w:t>
      </w:r>
    </w:p>
    <w:p w:rsidR="00BF3265" w:rsidRDefault="008F38EA" w:rsidP="00CC5653">
      <w:pPr>
        <w:tabs>
          <w:tab w:val="left" w:pos="8640"/>
        </w:tabs>
        <w:spacing w:after="120"/>
        <w:ind w:left="720" w:right="720"/>
        <w:rPr>
          <w:rFonts w:ascii="Book Antiqua" w:hAnsi="Book Antiqua"/>
          <w:sz w:val="20"/>
          <w:szCs w:val="20"/>
        </w:rPr>
      </w:pPr>
      <w:r>
        <w:rPr>
          <w:rFonts w:ascii="Book Antiqua" w:hAnsi="Book Antiqua"/>
          <w:sz w:val="20"/>
          <w:szCs w:val="20"/>
        </w:rPr>
        <w:t>The man, on the other hand, is the one who – after the sin – was the first to feel the shame of his nakedness. . .</w:t>
      </w:r>
      <w:r>
        <w:rPr>
          <w:rStyle w:val="FootnoteReference"/>
          <w:rFonts w:ascii="Book Antiqua" w:hAnsi="Book Antiqua"/>
          <w:sz w:val="20"/>
          <w:szCs w:val="20"/>
        </w:rPr>
        <w:footnoteReference w:id="27"/>
      </w:r>
    </w:p>
    <w:p w:rsidR="008F38EA" w:rsidRPr="008F38EA" w:rsidRDefault="008F38EA" w:rsidP="008F38EA">
      <w:pPr>
        <w:tabs>
          <w:tab w:val="left" w:pos="8640"/>
        </w:tabs>
        <w:spacing w:after="120"/>
        <w:ind w:right="720"/>
        <w:rPr>
          <w:rFonts w:ascii="Book Antiqua" w:hAnsi="Book Antiqua"/>
        </w:rPr>
      </w:pPr>
      <w:r w:rsidRPr="008F38EA">
        <w:rPr>
          <w:rFonts w:ascii="Book Antiqua" w:hAnsi="Book Antiqua"/>
        </w:rPr>
        <w:t>I jotted:</w:t>
      </w:r>
    </w:p>
    <w:p w:rsidR="008F38EA" w:rsidRDefault="00FE1897" w:rsidP="00CB2611">
      <w:pPr>
        <w:tabs>
          <w:tab w:val="left" w:pos="0"/>
          <w:tab w:val="left" w:pos="1440"/>
          <w:tab w:val="left" w:pos="4050"/>
        </w:tabs>
        <w:spacing w:after="80"/>
        <w:ind w:left="720" w:right="720"/>
        <w:rPr>
          <w:rFonts w:ascii="Book Antiqua" w:hAnsi="Book Antiqua"/>
          <w:sz w:val="20"/>
          <w:szCs w:val="20"/>
        </w:rPr>
      </w:pPr>
      <w:r>
        <w:rPr>
          <w:rFonts w:ascii="Book Antiqua" w:hAnsi="Book Antiqua"/>
          <w:noProof/>
          <w:sz w:val="20"/>
          <w:szCs w:val="20"/>
        </w:rPr>
        <w:pict>
          <v:shape id="_x0000_s1029" type="#_x0000_t32" style="position:absolute;left:0;text-align:left;margin-left:183.55pt;margin-top:7pt;width:17.75pt;height:0;z-index:251660288" o:connectortype="straight">
            <v:stroke endarrow="block"/>
          </v:shape>
        </w:pict>
      </w:r>
      <w:r>
        <w:rPr>
          <w:rFonts w:ascii="Book Antiqua" w:hAnsi="Book Antiqua"/>
          <w:noProof/>
          <w:sz w:val="20"/>
          <w:szCs w:val="20"/>
        </w:rPr>
        <w:pict>
          <v:shape id="_x0000_s1028" type="#_x0000_t32" style="position:absolute;left:0;text-align:left;margin-left:50.7pt;margin-top:7pt;width:19.25pt;height:.5pt;flip:y;z-index:251659264" o:connectortype="straight">
            <v:stroke endarrow="block"/>
          </v:shape>
        </w:pict>
      </w:r>
      <w:r w:rsidR="008F38EA">
        <w:rPr>
          <w:rFonts w:ascii="Book Antiqua" w:hAnsi="Book Antiqua"/>
          <w:sz w:val="20"/>
          <w:szCs w:val="20"/>
        </w:rPr>
        <w:t>sin</w:t>
      </w:r>
      <w:r w:rsidR="008F38EA">
        <w:rPr>
          <w:rFonts w:ascii="Book Antiqua" w:hAnsi="Book Antiqua"/>
          <w:sz w:val="20"/>
          <w:szCs w:val="20"/>
        </w:rPr>
        <w:tab/>
        <w:t>shame     / or /     shame</w:t>
      </w:r>
      <w:r w:rsidR="008F38EA">
        <w:rPr>
          <w:rFonts w:ascii="Book Antiqua" w:hAnsi="Book Antiqua"/>
          <w:sz w:val="20"/>
          <w:szCs w:val="20"/>
        </w:rPr>
        <w:tab/>
        <w:t>sin</w:t>
      </w:r>
    </w:p>
    <w:p w:rsidR="00A76D17" w:rsidRPr="0086474A" w:rsidRDefault="00A76D17" w:rsidP="008F38EA">
      <w:pPr>
        <w:tabs>
          <w:tab w:val="left" w:pos="0"/>
          <w:tab w:val="left" w:pos="1440"/>
          <w:tab w:val="left" w:pos="4050"/>
        </w:tabs>
        <w:spacing w:after="120"/>
        <w:ind w:left="720" w:right="720"/>
        <w:rPr>
          <w:rFonts w:ascii="Book Antiqua" w:hAnsi="Book Antiqua"/>
          <w:sz w:val="20"/>
          <w:szCs w:val="20"/>
        </w:rPr>
      </w:pPr>
      <w:r>
        <w:rPr>
          <w:rFonts w:ascii="Book Antiqua" w:hAnsi="Book Antiqua"/>
          <w:sz w:val="20"/>
          <w:szCs w:val="20"/>
        </w:rPr>
        <w:t xml:space="preserve">Wasn’t shame </w:t>
      </w:r>
      <w:r w:rsidRPr="00A76D17">
        <w:rPr>
          <w:rFonts w:ascii="Book Antiqua" w:hAnsi="Book Antiqua"/>
          <w:sz w:val="20"/>
          <w:szCs w:val="20"/>
          <w:u w:val="single"/>
        </w:rPr>
        <w:t>why</w:t>
      </w:r>
      <w:r>
        <w:rPr>
          <w:rFonts w:ascii="Book Antiqua" w:hAnsi="Book Antiqua"/>
          <w:sz w:val="20"/>
          <w:szCs w:val="20"/>
        </w:rPr>
        <w:t xml:space="preserve"> they ate</w:t>
      </w:r>
      <w:r w:rsidR="00D0427A">
        <w:rPr>
          <w:rFonts w:ascii="Book Antiqua" w:hAnsi="Book Antiqua"/>
          <w:sz w:val="20"/>
          <w:szCs w:val="20"/>
        </w:rPr>
        <w:t xml:space="preserve"> the fruit</w:t>
      </w:r>
      <w:r>
        <w:rPr>
          <w:rFonts w:ascii="Book Antiqua" w:hAnsi="Book Antiqua"/>
          <w:sz w:val="20"/>
          <w:szCs w:val="20"/>
        </w:rPr>
        <w:t xml:space="preserve">?  After, came </w:t>
      </w:r>
      <w:r w:rsidRPr="00A76D17">
        <w:rPr>
          <w:rFonts w:ascii="Book Antiqua" w:hAnsi="Book Antiqua"/>
          <w:sz w:val="20"/>
          <w:szCs w:val="20"/>
          <w:u w:val="single"/>
        </w:rPr>
        <w:t>fear</w:t>
      </w:r>
      <w:r>
        <w:rPr>
          <w:rFonts w:ascii="Book Antiqua" w:hAnsi="Book Antiqua"/>
          <w:sz w:val="20"/>
          <w:szCs w:val="20"/>
        </w:rPr>
        <w:t>.</w:t>
      </w:r>
    </w:p>
    <w:p w:rsidR="008E1E41" w:rsidRDefault="008E1E41" w:rsidP="00004C0B">
      <w:pPr>
        <w:tabs>
          <w:tab w:val="left" w:pos="8640"/>
        </w:tabs>
        <w:spacing w:after="120"/>
        <w:rPr>
          <w:rFonts w:ascii="Book Antiqua" w:hAnsi="Book Antiqua"/>
        </w:rPr>
      </w:pPr>
      <w:r>
        <w:rPr>
          <w:rFonts w:ascii="Book Antiqua" w:hAnsi="Book Antiqua"/>
        </w:rPr>
        <w:t>Shame begets sin begets fear.  I was just a pipsqueak kid, but I think I had that right.  I think that’s how the Yahwist saw it, and said it.</w:t>
      </w:r>
    </w:p>
    <w:p w:rsidR="008E1E41" w:rsidRDefault="008E1E41" w:rsidP="008E1E41">
      <w:pPr>
        <w:tabs>
          <w:tab w:val="left" w:pos="0"/>
        </w:tabs>
        <w:spacing w:after="120"/>
        <w:rPr>
          <w:rFonts w:ascii="Book Antiqua" w:hAnsi="Book Antiqua"/>
        </w:rPr>
      </w:pPr>
      <w:r>
        <w:rPr>
          <w:rFonts w:ascii="Book Antiqua" w:hAnsi="Book Antiqua"/>
        </w:rPr>
        <w:tab/>
        <w:t>Then the Holy Father did some traveling, headed to Castel Gandolfo, and I didn’t tune in for Season Two.</w:t>
      </w:r>
      <w:r w:rsidR="00790A7F">
        <w:rPr>
          <w:rFonts w:ascii="Book Antiqua" w:hAnsi="Book Antiqua"/>
        </w:rPr>
        <w:t xml:space="preserve">  I caught a few episodes here and there, and have watched a few re-runs over the years,</w:t>
      </w:r>
      <w:r w:rsidR="001F522F">
        <w:rPr>
          <w:rFonts w:ascii="Book Antiqua" w:hAnsi="Book Antiqua"/>
        </w:rPr>
        <w:t xml:space="preserve"> but only last year did I return to the whole thing, and also, for the first time, caught a few of the spin-off series which have since proliferated.  A few new quibbling</w:t>
      </w:r>
      <w:r w:rsidR="00DE0C5E">
        <w:rPr>
          <w:rFonts w:ascii="Book Antiqua" w:hAnsi="Book Antiqua"/>
        </w:rPr>
        <w:t>s</w:t>
      </w:r>
      <w:r w:rsidR="001F522F">
        <w:rPr>
          <w:rFonts w:ascii="Book Antiqua" w:hAnsi="Book Antiqua"/>
        </w:rPr>
        <w:t xml:space="preserve"> emerge</w:t>
      </w:r>
      <w:r w:rsidR="00041CFE">
        <w:rPr>
          <w:rFonts w:ascii="Book Antiqua" w:hAnsi="Book Antiqua"/>
        </w:rPr>
        <w:t>d</w:t>
      </w:r>
      <w:r w:rsidR="001F522F">
        <w:rPr>
          <w:rFonts w:ascii="Book Antiqua" w:hAnsi="Book Antiqua"/>
        </w:rPr>
        <w:t>, which, with the preceding, coalesce into a foundational question of method.</w:t>
      </w:r>
    </w:p>
    <w:p w:rsidR="001F522F" w:rsidRDefault="001F522F" w:rsidP="008E1E41">
      <w:pPr>
        <w:tabs>
          <w:tab w:val="left" w:pos="0"/>
        </w:tabs>
        <w:spacing w:after="120"/>
        <w:rPr>
          <w:rFonts w:ascii="Book Antiqua" w:hAnsi="Book Antiqua"/>
        </w:rPr>
      </w:pPr>
      <w:r>
        <w:rPr>
          <w:rFonts w:ascii="Book Antiqua" w:hAnsi="Book Antiqua"/>
        </w:rPr>
        <w:tab/>
        <w:t xml:space="preserve">I noted, for the first time, John Paul’s </w:t>
      </w:r>
      <w:r w:rsidR="000D4513">
        <w:rPr>
          <w:rFonts w:ascii="Book Antiqua" w:hAnsi="Book Antiqua"/>
        </w:rPr>
        <w:t>highly original (perhaps even idiosyncratic) use of</w:t>
      </w:r>
      <w:r>
        <w:rPr>
          <w:rFonts w:ascii="Book Antiqua" w:hAnsi="Book Antiqua"/>
        </w:rPr>
        <w:t xml:space="preserve"> a particular ‘school’ of interpretation, manifest in his </w:t>
      </w:r>
      <w:r w:rsidR="000D4513">
        <w:rPr>
          <w:rFonts w:ascii="Book Antiqua" w:hAnsi="Book Antiqua"/>
        </w:rPr>
        <w:t>references to</w:t>
      </w:r>
      <w:r>
        <w:rPr>
          <w:rFonts w:ascii="Book Antiqua" w:hAnsi="Book Antiqua"/>
        </w:rPr>
        <w:t xml:space="preserve"> Mircea Eliade and Carl Jung.</w:t>
      </w:r>
      <w:r>
        <w:rPr>
          <w:rStyle w:val="FootnoteReference"/>
          <w:rFonts w:ascii="Book Antiqua" w:hAnsi="Book Antiqua"/>
        </w:rPr>
        <w:footnoteReference w:id="28"/>
      </w:r>
      <w:r>
        <w:rPr>
          <w:rFonts w:ascii="Book Antiqua" w:hAnsi="Book Antiqua"/>
        </w:rPr>
        <w:t xml:space="preserve">  It is interesting (to me, at least) that I had not noted this on first reading.  I was much taken at the time with Eliade’s insistence that “only the paradigmatic is the real,” and with the </w:t>
      </w:r>
      <w:r>
        <w:rPr>
          <w:rFonts w:ascii="Book Antiqua" w:hAnsi="Book Antiqua"/>
        </w:rPr>
        <w:lastRenderedPageBreak/>
        <w:t>related notion that the Sacred is encountered by means of “repetition.”</w:t>
      </w:r>
      <w:r w:rsidR="000D4513">
        <w:rPr>
          <w:rStyle w:val="FootnoteReference"/>
          <w:rFonts w:ascii="Book Antiqua" w:hAnsi="Book Antiqua"/>
        </w:rPr>
        <w:footnoteReference w:id="29"/>
      </w:r>
      <w:r>
        <w:rPr>
          <w:rFonts w:ascii="Book Antiqua" w:hAnsi="Book Antiqua"/>
        </w:rPr>
        <w:t xml:space="preserve">  I had not yet done any serious reading of Jung, but was nevertheless somewhat under the spell of his insistence on the primacy of the archetypal.  All these years later, I wonder about the implicit </w:t>
      </w:r>
      <w:r w:rsidR="005D1CC3">
        <w:rPr>
          <w:rFonts w:ascii="Book Antiqua" w:hAnsi="Book Antiqua"/>
        </w:rPr>
        <w:t>Idealism</w:t>
      </w:r>
      <w:r>
        <w:rPr>
          <w:rFonts w:ascii="Book Antiqua" w:hAnsi="Book Antiqua"/>
        </w:rPr>
        <w:t xml:space="preserve"> of their </w:t>
      </w:r>
      <w:r w:rsidR="005D1CC3">
        <w:rPr>
          <w:rFonts w:ascii="Book Antiqua" w:hAnsi="Book Antiqua"/>
        </w:rPr>
        <w:t>methods</w:t>
      </w:r>
      <w:r w:rsidR="002C49B7">
        <w:rPr>
          <w:rFonts w:ascii="Book Antiqua" w:hAnsi="Book Antiqua"/>
        </w:rPr>
        <w:t>, especially in John Paul’s usage</w:t>
      </w:r>
      <w:r>
        <w:rPr>
          <w:rFonts w:ascii="Book Antiqua" w:hAnsi="Book Antiqua"/>
        </w:rPr>
        <w:t>.  How to square the “unique and unrepeatable” experience</w:t>
      </w:r>
      <w:r w:rsidR="004464A3">
        <w:rPr>
          <w:rFonts w:ascii="Book Antiqua" w:hAnsi="Book Antiqua"/>
        </w:rPr>
        <w:t xml:space="preserve"> of each human person with the</w:t>
      </w:r>
      <w:r>
        <w:rPr>
          <w:rFonts w:ascii="Book Antiqua" w:hAnsi="Book Antiqua"/>
        </w:rPr>
        <w:t xml:space="preserve"> insistence on repetition, eternal return, and collective unconscious?</w:t>
      </w:r>
    </w:p>
    <w:p w:rsidR="00313377" w:rsidRDefault="00313377" w:rsidP="008E1E41">
      <w:pPr>
        <w:tabs>
          <w:tab w:val="left" w:pos="0"/>
        </w:tabs>
        <w:spacing w:after="120"/>
        <w:rPr>
          <w:rFonts w:ascii="Book Antiqua" w:hAnsi="Book Antiqua"/>
        </w:rPr>
      </w:pPr>
      <w:r>
        <w:rPr>
          <w:rFonts w:ascii="Book Antiqua" w:hAnsi="Book Antiqua"/>
        </w:rPr>
        <w:tab/>
        <w:t>Secondly, I was struck by John Paul’s positing of “. . . a typically human intuition of the meaning of one’s own body.”</w:t>
      </w:r>
      <w:r>
        <w:rPr>
          <w:rStyle w:val="FootnoteReference"/>
          <w:rFonts w:ascii="Book Antiqua" w:hAnsi="Book Antiqua"/>
        </w:rPr>
        <w:footnoteReference w:id="30"/>
      </w:r>
      <w:r>
        <w:rPr>
          <w:rFonts w:ascii="Book Antiqua" w:hAnsi="Book Antiqua"/>
        </w:rPr>
        <w:t xml:space="preserve">  It seems to me that ‘intuition’ is epistemologically suspect.  We know the real through judgment, not intuition.</w:t>
      </w:r>
      <w:r w:rsidR="00FB1604">
        <w:rPr>
          <w:rFonts w:ascii="Book Antiqua" w:hAnsi="Book Antiqua"/>
        </w:rPr>
        <w:t xml:space="preserve"> </w:t>
      </w:r>
      <w:r>
        <w:rPr>
          <w:rFonts w:ascii="Book Antiqua" w:hAnsi="Book Antiqua"/>
        </w:rPr>
        <w:t xml:space="preserve"> Phantasms form to make a whole of the dizzying blur of experience, enabling insights which answer the </w:t>
      </w:r>
      <w:r w:rsidR="001F20EF">
        <w:rPr>
          <w:rFonts w:ascii="Book Antiqua" w:hAnsi="Book Antiqua"/>
        </w:rPr>
        <w:t>Aristotelian/</w:t>
      </w:r>
      <w:r>
        <w:rPr>
          <w:rFonts w:ascii="Book Antiqua" w:hAnsi="Book Antiqua"/>
        </w:rPr>
        <w:t xml:space="preserve">Thomist question, </w:t>
      </w:r>
      <w:r w:rsidRPr="00313377">
        <w:rPr>
          <w:rFonts w:ascii="Book Antiqua" w:hAnsi="Book Antiqua"/>
          <w:i/>
        </w:rPr>
        <w:t>what</w:t>
      </w:r>
      <w:r>
        <w:rPr>
          <w:rFonts w:ascii="Book Antiqua" w:hAnsi="Book Antiqua"/>
        </w:rPr>
        <w:t xml:space="preserve"> is it? (</w:t>
      </w:r>
      <w:r w:rsidRPr="00313377">
        <w:rPr>
          <w:rFonts w:ascii="Book Antiqua" w:hAnsi="Book Antiqua"/>
          <w:i/>
        </w:rPr>
        <w:t>quid est</w:t>
      </w:r>
      <w:r>
        <w:rPr>
          <w:rFonts w:ascii="Book Antiqua" w:hAnsi="Book Antiqua"/>
        </w:rPr>
        <w:t xml:space="preserve">?), but insights – as Fr. Lonergan noted too often to attempt references – ‘are a dime a dozen, and most of them are wrong!’  Insight into phantasm needs </w:t>
      </w:r>
      <w:r w:rsidR="001F20EF">
        <w:rPr>
          <w:rFonts w:ascii="Book Antiqua" w:hAnsi="Book Antiqua"/>
        </w:rPr>
        <w:t xml:space="preserve">to </w:t>
      </w:r>
      <w:r>
        <w:rPr>
          <w:rFonts w:ascii="Book Antiqua" w:hAnsi="Book Antiqua"/>
        </w:rPr>
        <w:t xml:space="preserve">give rise to the question, </w:t>
      </w:r>
      <w:r w:rsidRPr="00313377">
        <w:rPr>
          <w:rFonts w:ascii="Book Antiqua" w:hAnsi="Book Antiqua"/>
          <w:i/>
        </w:rPr>
        <w:t xml:space="preserve">is </w:t>
      </w:r>
      <w:r>
        <w:rPr>
          <w:rFonts w:ascii="Book Antiqua" w:hAnsi="Book Antiqua"/>
        </w:rPr>
        <w:t>it so? (</w:t>
      </w:r>
      <w:r w:rsidRPr="00041CFE">
        <w:rPr>
          <w:rFonts w:ascii="Book Antiqua" w:hAnsi="Book Antiqua"/>
          <w:i/>
        </w:rPr>
        <w:t>an sit</w:t>
      </w:r>
      <w:r>
        <w:rPr>
          <w:rFonts w:ascii="Book Antiqua" w:hAnsi="Book Antiqua"/>
        </w:rPr>
        <w:t>?), before reality can be grasped in true</w:t>
      </w:r>
      <w:r w:rsidRPr="00313377">
        <w:rPr>
          <w:rFonts w:ascii="Book Antiqua" w:hAnsi="Book Antiqua"/>
          <w:i/>
        </w:rPr>
        <w:t xml:space="preserve"> judgment</w:t>
      </w:r>
      <w:r>
        <w:rPr>
          <w:rFonts w:ascii="Book Antiqua" w:hAnsi="Book Antiqua"/>
        </w:rPr>
        <w:t>.</w:t>
      </w:r>
      <w:r w:rsidR="00CA5ECF">
        <w:rPr>
          <w:rFonts w:ascii="Book Antiqua" w:hAnsi="Book Antiqua"/>
        </w:rPr>
        <w:t xml:space="preserve">  Reliance on intuition involves short-circuiting the process of knowing; it involves a resting at the level of insight, without the arduous reflection of asking further relevant questions.</w:t>
      </w:r>
      <w:r w:rsidR="002C4007">
        <w:rPr>
          <w:rFonts w:ascii="Book Antiqua" w:hAnsi="Book Antiqua"/>
        </w:rPr>
        <w:t xml:space="preserve">  But only by allowing those questions to emerge, only through verification – ‘weighing’ the ‘evidence’ – in response to those questions, do we come to know reality.  And here, I think, the Holy Father got it exactly backwards.  He insists on “purely anthropological verification.”</w:t>
      </w:r>
      <w:r w:rsidR="002C4007">
        <w:rPr>
          <w:rStyle w:val="FootnoteReference"/>
          <w:rFonts w:ascii="Book Antiqua" w:hAnsi="Book Antiqua"/>
        </w:rPr>
        <w:footnoteReference w:id="31"/>
      </w:r>
      <w:r w:rsidR="002C4007">
        <w:rPr>
          <w:rFonts w:ascii="Book Antiqua" w:hAnsi="Book Antiqua"/>
        </w:rPr>
        <w:t xml:space="preserve">  He posits an intuition of truth, against which he proceeds to evaluate experience, rather than allowing experience to be the data from which one moves to evaluate the intuition/insight.</w:t>
      </w:r>
    </w:p>
    <w:p w:rsidR="001F20EF" w:rsidRDefault="001F20EF" w:rsidP="008E1E41">
      <w:pPr>
        <w:tabs>
          <w:tab w:val="left" w:pos="0"/>
        </w:tabs>
        <w:spacing w:after="120"/>
        <w:rPr>
          <w:rFonts w:ascii="Book Antiqua" w:hAnsi="Book Antiqua"/>
        </w:rPr>
      </w:pPr>
      <w:r>
        <w:rPr>
          <w:rFonts w:ascii="Book Antiqua" w:hAnsi="Book Antiqua"/>
        </w:rPr>
        <w:tab/>
        <w:t>Perhaps it was the difference between being a phenomenologist (a) in the professor’s chair, and (b) in the Chair of St. Peter.  No one raised their hands to ask questions at the Wednesday allocutions.  There had never before been such a thing as a Petrine phenomen-ologist.  What to make of it?  And it wasn’t long before a dual response seemed to emerge:  enthusiastic affirmation,</w:t>
      </w:r>
      <w:r w:rsidR="00B849B2">
        <w:rPr>
          <w:rFonts w:ascii="Book Antiqua" w:hAnsi="Book Antiqua"/>
        </w:rPr>
        <w:t xml:space="preserve"> on t</w:t>
      </w:r>
      <w:r w:rsidR="00954A50">
        <w:rPr>
          <w:rFonts w:ascii="Book Antiqua" w:hAnsi="Book Antiqua"/>
        </w:rPr>
        <w:t>he one hand, and a reciprocally</w:t>
      </w:r>
      <w:r>
        <w:rPr>
          <w:rFonts w:ascii="Book Antiqua" w:hAnsi="Book Antiqua"/>
        </w:rPr>
        <w:t xml:space="preserve"> enthusiastic negation, on the other</w:t>
      </w:r>
      <w:r w:rsidR="00BA041B">
        <w:rPr>
          <w:rFonts w:ascii="Book Antiqua" w:hAnsi="Book Antiqua"/>
        </w:rPr>
        <w:t xml:space="preserve"> – equally, it seems to me, without sufficient reflection.</w:t>
      </w:r>
    </w:p>
    <w:p w:rsidR="004C20F2" w:rsidRDefault="004C20F2" w:rsidP="008E1E41">
      <w:pPr>
        <w:tabs>
          <w:tab w:val="left" w:pos="0"/>
        </w:tabs>
        <w:spacing w:after="120"/>
        <w:rPr>
          <w:rFonts w:ascii="Book Antiqua" w:hAnsi="Book Antiqua"/>
        </w:rPr>
      </w:pPr>
      <w:r>
        <w:rPr>
          <w:rFonts w:ascii="Book Antiqua" w:hAnsi="Book Antiqua"/>
        </w:rPr>
        <w:tab/>
        <w:t>The need for such reflection gets back to the first question which occurred to me thirty-two years ago.  Are the pope’s insights true of every</w:t>
      </w:r>
      <w:r w:rsidR="006E5F74">
        <w:rPr>
          <w:rFonts w:ascii="Book Antiqua" w:hAnsi="Book Antiqua"/>
        </w:rPr>
        <w:t>-</w:t>
      </w:r>
      <w:r>
        <w:rPr>
          <w:rFonts w:ascii="Book Antiqua" w:hAnsi="Book Antiqua"/>
        </w:rPr>
        <w:t>body?  Of ‘</w:t>
      </w:r>
      <w:r w:rsidR="005969AF">
        <w:rPr>
          <w:rFonts w:ascii="Book Antiqua" w:hAnsi="Book Antiqua"/>
        </w:rPr>
        <w:t>our bodies</w:t>
      </w:r>
      <w:r>
        <w:rPr>
          <w:rFonts w:ascii="Book Antiqua" w:hAnsi="Book Antiqua"/>
        </w:rPr>
        <w:t>’?  Or just of ‘the body’?  Is there some Platonic ideal of the paradigmatic, archetypal body, intuited by the late Holy Father, against which we are to measure our very selves?  Or did he proffer insights, on which to reflect by marshalling the evidence of our own experience?  Are we to yield before Husserlian intuition?  Or to struggle toward Ignatian discernment?</w:t>
      </w:r>
      <w:r w:rsidR="005969AF">
        <w:rPr>
          <w:rFonts w:ascii="Book Antiqua" w:hAnsi="Book Antiqua"/>
        </w:rPr>
        <w:t xml:space="preserve">  To intuit or to discern, that is the question.</w:t>
      </w:r>
    </w:p>
    <w:p w:rsidR="004464A3" w:rsidRDefault="005969AF" w:rsidP="008E1E41">
      <w:pPr>
        <w:tabs>
          <w:tab w:val="left" w:pos="0"/>
        </w:tabs>
        <w:spacing w:after="120"/>
        <w:rPr>
          <w:rFonts w:ascii="Book Antiqua" w:hAnsi="Book Antiqua"/>
        </w:rPr>
      </w:pPr>
      <w:r>
        <w:rPr>
          <w:rFonts w:ascii="Book Antiqua" w:hAnsi="Book Antiqua"/>
        </w:rPr>
        <w:tab/>
        <w:t xml:space="preserve">There are strains of both strainings – essentialist and existentialist – in our wide, </w:t>
      </w:r>
    </w:p>
    <w:p w:rsidR="005969AF" w:rsidRPr="00313377" w:rsidRDefault="005969AF" w:rsidP="008E1E41">
      <w:pPr>
        <w:tabs>
          <w:tab w:val="left" w:pos="0"/>
        </w:tabs>
        <w:spacing w:after="120"/>
        <w:rPr>
          <w:rFonts w:ascii="Book Antiqua" w:hAnsi="Book Antiqua"/>
        </w:rPr>
      </w:pPr>
      <w:r>
        <w:rPr>
          <w:rFonts w:ascii="Book Antiqua" w:hAnsi="Book Antiqua"/>
        </w:rPr>
        <w:lastRenderedPageBreak/>
        <w:t>‘catholic’ tradition.  I plead here, not for ignoring the former, only for real consideration of the latter.  The “unique and unrepeatable” subjectivity of each truly incarnate person was respected, not only by Ignatius, but by others i</w:t>
      </w:r>
      <w:r w:rsidR="00253CEE">
        <w:rPr>
          <w:rFonts w:ascii="Book Antiqua" w:hAnsi="Book Antiqua"/>
        </w:rPr>
        <w:t xml:space="preserve">n our tradition.  Hear, here, one </w:t>
      </w:r>
      <w:r>
        <w:rPr>
          <w:rFonts w:ascii="Book Antiqua" w:hAnsi="Book Antiqua"/>
        </w:rPr>
        <w:t xml:space="preserve">giant </w:t>
      </w:r>
      <w:r w:rsidR="00253CEE">
        <w:rPr>
          <w:rFonts w:ascii="Book Antiqua" w:hAnsi="Book Antiqua"/>
        </w:rPr>
        <w:t>of that tradition reflecting on another</w:t>
      </w:r>
      <w:r>
        <w:rPr>
          <w:rFonts w:ascii="Book Antiqua" w:hAnsi="Book Antiqua"/>
        </w:rPr>
        <w:t>:</w:t>
      </w:r>
    </w:p>
    <w:p w:rsidR="005969AF" w:rsidRPr="00891C88" w:rsidRDefault="005969AF" w:rsidP="005969AF">
      <w:pPr>
        <w:tabs>
          <w:tab w:val="left" w:pos="8640"/>
        </w:tabs>
        <w:spacing w:after="120"/>
        <w:ind w:left="720" w:right="720"/>
        <w:rPr>
          <w:rFonts w:ascii="Book Antiqua" w:hAnsi="Book Antiqua"/>
          <w:sz w:val="20"/>
          <w:szCs w:val="20"/>
        </w:rPr>
      </w:pPr>
      <w:r w:rsidRPr="00891C88">
        <w:rPr>
          <w:rFonts w:ascii="Book Antiqua" w:hAnsi="Book Antiqua"/>
          <w:sz w:val="20"/>
          <w:szCs w:val="20"/>
        </w:rPr>
        <w:t>I have said that St. Francis deliberately did not see the wood for the trees.  It is even more true that he deliberately did not see the mob for the men.  What distinguishes this very genuine democrat from any mere demagogue is that he never either deceived or was deceived by the illusion of mass-suggestion.  Whatever his taste in monsters, he never saw before him a many-headed beast.  He saw only the image of God multiplied but not monotonous.  To him a man was always a man and did not disappear in a dense crowd any more than in a desert.  He honoured all men; that is, he not only loved but respected them all.  What gave him his extraordinary personal power was this; that from the Pope to the beggar, from the sultan of Syria in his pavilion to the ragged robbers crawling out of the wood, there was never a man who looked into those brown burning eyes without being certain that Francis Bernardone was really interested in him; in his own inner individual life from the cradle to the grave; that he himself was being valued and taken seriously, and not merely added to the spoils of some local policy or the n</w:t>
      </w:r>
      <w:r>
        <w:rPr>
          <w:rFonts w:ascii="Book Antiqua" w:hAnsi="Book Antiqua"/>
          <w:sz w:val="20"/>
          <w:szCs w:val="20"/>
        </w:rPr>
        <w:t>ames in some clerical document.</w:t>
      </w:r>
      <w:r>
        <w:rPr>
          <w:rStyle w:val="FootnoteReference"/>
          <w:rFonts w:ascii="Book Antiqua" w:hAnsi="Book Antiqua"/>
          <w:sz w:val="20"/>
          <w:szCs w:val="20"/>
        </w:rPr>
        <w:footnoteReference w:id="32"/>
      </w:r>
    </w:p>
    <w:p w:rsidR="005969AF" w:rsidRDefault="005969AF" w:rsidP="00FF4CAE">
      <w:pPr>
        <w:spacing w:after="120"/>
        <w:rPr>
          <w:rFonts w:ascii="Book Antiqua" w:hAnsi="Book Antiqua"/>
        </w:rPr>
      </w:pPr>
      <w:r>
        <w:rPr>
          <w:rFonts w:ascii="Book Antiqua" w:hAnsi="Book Antiqua"/>
        </w:rPr>
        <w:t xml:space="preserve">I don’t know what color John Paul’s eyes were, nor do I know the color of yours, but I do suspect that there are many who, looking into them, find them not particularly burning with interest in their “own inner individual life from the cradle to the grave.”  </w:t>
      </w:r>
      <w:r w:rsidR="00B93EF2">
        <w:rPr>
          <w:rFonts w:ascii="Book Antiqua" w:hAnsi="Book Antiqua"/>
        </w:rPr>
        <w:t xml:space="preserve">That burning interest enables Newman’s </w:t>
      </w:r>
      <w:r w:rsidR="00B93EF2" w:rsidRPr="00B93EF2">
        <w:rPr>
          <w:rFonts w:ascii="Book Antiqua" w:hAnsi="Book Antiqua"/>
          <w:i/>
        </w:rPr>
        <w:t xml:space="preserve">cor </w:t>
      </w:r>
      <w:proofErr w:type="spellStart"/>
      <w:r w:rsidR="00B93EF2" w:rsidRPr="00B93EF2">
        <w:rPr>
          <w:rFonts w:ascii="Book Antiqua" w:hAnsi="Book Antiqua"/>
          <w:i/>
        </w:rPr>
        <w:t>ad</w:t>
      </w:r>
      <w:proofErr w:type="spellEnd"/>
      <w:r w:rsidR="00B93EF2" w:rsidRPr="00B93EF2">
        <w:rPr>
          <w:rFonts w:ascii="Book Antiqua" w:hAnsi="Book Antiqua"/>
          <w:i/>
        </w:rPr>
        <w:t xml:space="preserve"> cor loquitur</w:t>
      </w:r>
      <w:r w:rsidR="00B93EF2">
        <w:rPr>
          <w:rFonts w:ascii="Book Antiqua" w:hAnsi="Book Antiqua"/>
        </w:rPr>
        <w:t xml:space="preserve">.  </w:t>
      </w:r>
      <w:r>
        <w:rPr>
          <w:rFonts w:ascii="Book Antiqua" w:hAnsi="Book Antiqua"/>
        </w:rPr>
        <w:t>Neither Francis nor Chesterton tended to look upon ‘the body’ of humanity, but upon ‘our bodies.’  Thus, their “extraordinary personal power,” which draws me each morning to pray the Canticle of the Creatures, which recalls me daily to “praise my Lord for our sister Mother Earth, who nourishes and sustain</w:t>
      </w:r>
      <w:r w:rsidR="00FF38A4">
        <w:rPr>
          <w:rFonts w:ascii="Book Antiqua" w:hAnsi="Book Antiqua"/>
        </w:rPr>
        <w:t>s us all, bringing forth divers</w:t>
      </w:r>
      <w:r>
        <w:rPr>
          <w:rFonts w:ascii="Book Antiqua" w:hAnsi="Book Antiqua"/>
        </w:rPr>
        <w:t xml:space="preserve"> fruits</w:t>
      </w:r>
      <w:r w:rsidR="00EF32FB">
        <w:rPr>
          <w:rFonts w:ascii="Book Antiqua" w:hAnsi="Book Antiqua"/>
        </w:rPr>
        <w:t>, and many-colored flowers and herbs</w:t>
      </w:r>
      <w:r>
        <w:rPr>
          <w:rFonts w:ascii="Book Antiqua" w:hAnsi="Book Antiqua"/>
        </w:rPr>
        <w:t>.”  As each night I hop into bed with Hopkins:</w:t>
      </w:r>
    </w:p>
    <w:p w:rsidR="00FF4CAE" w:rsidRPr="00B93EF2" w:rsidRDefault="00B93EF2" w:rsidP="00B93EF2">
      <w:pPr>
        <w:spacing w:after="120"/>
        <w:ind w:left="720" w:right="720"/>
        <w:contextualSpacing/>
        <w:rPr>
          <w:rFonts w:ascii="Book Antiqua" w:hAnsi="Book Antiqua"/>
          <w:sz w:val="20"/>
          <w:szCs w:val="20"/>
        </w:rPr>
      </w:pPr>
      <w:r w:rsidRPr="00B93EF2">
        <w:rPr>
          <w:rFonts w:ascii="Book Antiqua" w:hAnsi="Book Antiqua"/>
          <w:sz w:val="20"/>
          <w:szCs w:val="20"/>
        </w:rPr>
        <w:tab/>
      </w:r>
      <w:r w:rsidRPr="00B93EF2">
        <w:rPr>
          <w:rFonts w:ascii="Book Antiqua" w:hAnsi="Book Antiqua"/>
          <w:sz w:val="20"/>
          <w:szCs w:val="20"/>
        </w:rPr>
        <w:tab/>
        <w:t>like each tucked str</w:t>
      </w:r>
      <w:r>
        <w:rPr>
          <w:rFonts w:ascii="Book Antiqua" w:hAnsi="Book Antiqua"/>
          <w:sz w:val="20"/>
          <w:szCs w:val="20"/>
        </w:rPr>
        <w:t>i</w:t>
      </w:r>
      <w:r w:rsidRPr="00B93EF2">
        <w:rPr>
          <w:rFonts w:ascii="Book Antiqua" w:hAnsi="Book Antiqua"/>
          <w:sz w:val="20"/>
          <w:szCs w:val="20"/>
        </w:rPr>
        <w:t>ng tells, each hung bell’s</w:t>
      </w:r>
      <w:r w:rsidR="00FF4CAE" w:rsidRPr="00B93EF2">
        <w:rPr>
          <w:rFonts w:ascii="Book Antiqua" w:hAnsi="Book Antiqua"/>
          <w:sz w:val="20"/>
          <w:szCs w:val="20"/>
        </w:rPr>
        <w:tab/>
      </w:r>
    </w:p>
    <w:p w:rsidR="00B93EF2" w:rsidRPr="00B93EF2" w:rsidRDefault="00B93EF2" w:rsidP="00B93EF2">
      <w:pPr>
        <w:spacing w:after="120"/>
        <w:ind w:left="720" w:right="720"/>
        <w:contextualSpacing/>
        <w:rPr>
          <w:rFonts w:ascii="Book Antiqua" w:hAnsi="Book Antiqua"/>
          <w:sz w:val="20"/>
          <w:szCs w:val="20"/>
        </w:rPr>
      </w:pPr>
      <w:r w:rsidRPr="00B93EF2">
        <w:rPr>
          <w:rFonts w:ascii="Book Antiqua" w:hAnsi="Book Antiqua"/>
          <w:sz w:val="20"/>
          <w:szCs w:val="20"/>
        </w:rPr>
        <w:t>Bow swung finds tongue to fling out broad its name;</w:t>
      </w:r>
    </w:p>
    <w:p w:rsidR="00B93EF2" w:rsidRPr="00B93EF2" w:rsidRDefault="00B93EF2" w:rsidP="00B93EF2">
      <w:pPr>
        <w:spacing w:after="120"/>
        <w:ind w:left="720" w:right="720"/>
        <w:contextualSpacing/>
        <w:rPr>
          <w:rFonts w:ascii="Book Antiqua" w:hAnsi="Book Antiqua"/>
          <w:sz w:val="20"/>
          <w:szCs w:val="20"/>
        </w:rPr>
      </w:pPr>
      <w:r w:rsidRPr="00B93EF2">
        <w:rPr>
          <w:rFonts w:ascii="Book Antiqua" w:hAnsi="Book Antiqua"/>
          <w:sz w:val="20"/>
          <w:szCs w:val="20"/>
        </w:rPr>
        <w:t>Each mortal thing does one thing and the same:</w:t>
      </w:r>
    </w:p>
    <w:p w:rsidR="00B93EF2" w:rsidRPr="00B93EF2" w:rsidRDefault="00B93EF2" w:rsidP="00B93EF2">
      <w:pPr>
        <w:spacing w:after="120"/>
        <w:ind w:left="720" w:right="720"/>
        <w:contextualSpacing/>
        <w:rPr>
          <w:rFonts w:ascii="Book Antiqua" w:hAnsi="Book Antiqua"/>
          <w:sz w:val="20"/>
          <w:szCs w:val="20"/>
        </w:rPr>
      </w:pPr>
      <w:r w:rsidRPr="00B93EF2">
        <w:rPr>
          <w:rFonts w:ascii="Book Antiqua" w:hAnsi="Book Antiqua"/>
          <w:sz w:val="20"/>
          <w:szCs w:val="20"/>
        </w:rPr>
        <w:t>Deals out that being indoors each one dwells;</w:t>
      </w:r>
    </w:p>
    <w:p w:rsidR="00B93EF2" w:rsidRPr="00B93EF2" w:rsidRDefault="00B93EF2" w:rsidP="00B93EF2">
      <w:pPr>
        <w:spacing w:after="120"/>
        <w:ind w:left="720" w:right="720"/>
        <w:contextualSpacing/>
        <w:rPr>
          <w:rFonts w:ascii="Book Antiqua" w:hAnsi="Book Antiqua"/>
          <w:sz w:val="20"/>
          <w:szCs w:val="20"/>
        </w:rPr>
      </w:pPr>
      <w:r w:rsidRPr="00B93EF2">
        <w:rPr>
          <w:rFonts w:ascii="Book Antiqua" w:hAnsi="Book Antiqua"/>
          <w:sz w:val="20"/>
          <w:szCs w:val="20"/>
        </w:rPr>
        <w:t xml:space="preserve">Selves – goes itself; </w:t>
      </w:r>
      <w:r w:rsidRPr="00B93EF2">
        <w:rPr>
          <w:rFonts w:ascii="Book Antiqua" w:hAnsi="Book Antiqua"/>
          <w:i/>
          <w:sz w:val="20"/>
          <w:szCs w:val="20"/>
        </w:rPr>
        <w:t>myself</w:t>
      </w:r>
      <w:r w:rsidRPr="00B93EF2">
        <w:rPr>
          <w:rFonts w:ascii="Book Antiqua" w:hAnsi="Book Antiqua"/>
          <w:sz w:val="20"/>
          <w:szCs w:val="20"/>
        </w:rPr>
        <w:t xml:space="preserve"> it speaks and spells,</w:t>
      </w:r>
    </w:p>
    <w:p w:rsidR="00B93EF2" w:rsidRPr="00B93EF2" w:rsidRDefault="00B93EF2" w:rsidP="00B93EF2">
      <w:pPr>
        <w:spacing w:after="120"/>
        <w:ind w:left="720" w:right="720"/>
        <w:contextualSpacing/>
        <w:rPr>
          <w:rFonts w:ascii="Book Antiqua" w:hAnsi="Book Antiqua"/>
          <w:sz w:val="20"/>
          <w:szCs w:val="20"/>
        </w:rPr>
      </w:pPr>
      <w:r w:rsidRPr="00B93EF2">
        <w:rPr>
          <w:rFonts w:ascii="Book Antiqua" w:hAnsi="Book Antiqua"/>
          <w:sz w:val="20"/>
          <w:szCs w:val="20"/>
        </w:rPr>
        <w:t xml:space="preserve">Crying </w:t>
      </w:r>
      <w:r w:rsidRPr="00B93EF2">
        <w:rPr>
          <w:rFonts w:ascii="Book Antiqua" w:hAnsi="Book Antiqua"/>
          <w:i/>
          <w:sz w:val="20"/>
          <w:szCs w:val="20"/>
        </w:rPr>
        <w:t>Whát I do is me, for that I came</w:t>
      </w:r>
      <w:r w:rsidRPr="00B93EF2">
        <w:rPr>
          <w:rFonts w:ascii="Book Antiqua" w:hAnsi="Book Antiqua"/>
          <w:sz w:val="20"/>
          <w:szCs w:val="20"/>
        </w:rPr>
        <w:t>.</w:t>
      </w:r>
    </w:p>
    <w:p w:rsidR="00B93EF2" w:rsidRPr="00B93EF2" w:rsidRDefault="00B93EF2" w:rsidP="00B93EF2">
      <w:pPr>
        <w:spacing w:after="120"/>
        <w:ind w:left="720" w:right="720"/>
        <w:contextualSpacing/>
        <w:rPr>
          <w:rFonts w:ascii="Book Antiqua" w:hAnsi="Book Antiqua"/>
          <w:sz w:val="20"/>
          <w:szCs w:val="20"/>
        </w:rPr>
      </w:pPr>
      <w:r w:rsidRPr="00B93EF2">
        <w:rPr>
          <w:rFonts w:ascii="Book Antiqua" w:hAnsi="Book Antiqua"/>
          <w:sz w:val="20"/>
          <w:szCs w:val="20"/>
        </w:rPr>
        <w:t xml:space="preserve">I say </w:t>
      </w:r>
      <w:r>
        <w:rPr>
          <w:rFonts w:ascii="Book Antiqua" w:hAnsi="Book Antiqua"/>
          <w:sz w:val="20"/>
          <w:szCs w:val="20"/>
        </w:rPr>
        <w:t>mó</w:t>
      </w:r>
      <w:r w:rsidRPr="00B93EF2">
        <w:rPr>
          <w:rFonts w:ascii="Book Antiqua" w:hAnsi="Book Antiqua"/>
          <w:sz w:val="20"/>
          <w:szCs w:val="20"/>
        </w:rPr>
        <w:t>re:  the just man justices;</w:t>
      </w:r>
    </w:p>
    <w:p w:rsidR="00B93EF2" w:rsidRPr="00B93EF2" w:rsidRDefault="00B93EF2" w:rsidP="00B93EF2">
      <w:pPr>
        <w:spacing w:after="120"/>
        <w:ind w:left="720" w:right="720"/>
        <w:contextualSpacing/>
        <w:rPr>
          <w:rFonts w:ascii="Book Antiqua" w:hAnsi="Book Antiqua"/>
          <w:sz w:val="20"/>
          <w:szCs w:val="20"/>
        </w:rPr>
      </w:pPr>
      <w:r w:rsidRPr="00B93EF2">
        <w:rPr>
          <w:rFonts w:ascii="Book Antiqua" w:hAnsi="Book Antiqua"/>
          <w:sz w:val="20"/>
          <w:szCs w:val="20"/>
        </w:rPr>
        <w:t xml:space="preserve">Kéeps </w:t>
      </w:r>
      <w:r>
        <w:rPr>
          <w:rFonts w:ascii="Book Antiqua" w:hAnsi="Book Antiqua"/>
          <w:sz w:val="20"/>
          <w:szCs w:val="20"/>
        </w:rPr>
        <w:t>grá</w:t>
      </w:r>
      <w:r w:rsidRPr="00B93EF2">
        <w:rPr>
          <w:rFonts w:ascii="Book Antiqua" w:hAnsi="Book Antiqua"/>
          <w:sz w:val="20"/>
          <w:szCs w:val="20"/>
        </w:rPr>
        <w:t>ce:  that keeps all his goings graces;</w:t>
      </w:r>
    </w:p>
    <w:p w:rsidR="00B93EF2" w:rsidRPr="00B93EF2" w:rsidRDefault="00B93EF2" w:rsidP="00B93EF2">
      <w:pPr>
        <w:spacing w:after="120"/>
        <w:ind w:left="720" w:right="720"/>
        <w:contextualSpacing/>
        <w:rPr>
          <w:rFonts w:ascii="Book Antiqua" w:hAnsi="Book Antiqua"/>
          <w:sz w:val="20"/>
          <w:szCs w:val="20"/>
        </w:rPr>
      </w:pPr>
      <w:r w:rsidRPr="00B93EF2">
        <w:rPr>
          <w:rFonts w:ascii="Book Antiqua" w:hAnsi="Book Antiqua"/>
          <w:sz w:val="20"/>
          <w:szCs w:val="20"/>
        </w:rPr>
        <w:t>Acts in God’s eye what in God’s eye he is –</w:t>
      </w:r>
    </w:p>
    <w:p w:rsidR="00B93EF2" w:rsidRPr="00B93EF2" w:rsidRDefault="00B93EF2" w:rsidP="00B93EF2">
      <w:pPr>
        <w:spacing w:after="120"/>
        <w:ind w:left="720" w:right="720"/>
        <w:contextualSpacing/>
        <w:rPr>
          <w:rFonts w:ascii="Book Antiqua" w:hAnsi="Book Antiqua"/>
          <w:sz w:val="20"/>
          <w:szCs w:val="20"/>
        </w:rPr>
      </w:pPr>
      <w:r w:rsidRPr="00B93EF2">
        <w:rPr>
          <w:rFonts w:ascii="Book Antiqua" w:hAnsi="Book Antiqua"/>
          <w:sz w:val="20"/>
          <w:szCs w:val="20"/>
        </w:rPr>
        <w:t>Christ – for Christ plays in ten thousand places,</w:t>
      </w:r>
    </w:p>
    <w:p w:rsidR="00B93EF2" w:rsidRPr="00B93EF2" w:rsidRDefault="00B93EF2" w:rsidP="00B93EF2">
      <w:pPr>
        <w:spacing w:after="120"/>
        <w:ind w:left="720" w:right="720"/>
        <w:contextualSpacing/>
        <w:rPr>
          <w:rFonts w:ascii="Book Antiqua" w:hAnsi="Book Antiqua"/>
          <w:sz w:val="20"/>
          <w:szCs w:val="20"/>
        </w:rPr>
      </w:pPr>
      <w:r w:rsidRPr="00B93EF2">
        <w:rPr>
          <w:rFonts w:ascii="Book Antiqua" w:hAnsi="Book Antiqua"/>
          <w:sz w:val="20"/>
          <w:szCs w:val="20"/>
        </w:rPr>
        <w:t>Lovely in limbs, and lovely in eyes not his</w:t>
      </w:r>
    </w:p>
    <w:p w:rsidR="00B93EF2" w:rsidRPr="00B93EF2" w:rsidRDefault="00B93EF2" w:rsidP="00B93EF2">
      <w:pPr>
        <w:spacing w:after="120"/>
        <w:ind w:left="720" w:right="720"/>
        <w:rPr>
          <w:rFonts w:ascii="Book Antiqua" w:hAnsi="Book Antiqua"/>
          <w:sz w:val="20"/>
          <w:szCs w:val="20"/>
        </w:rPr>
      </w:pPr>
      <w:r w:rsidRPr="00B93EF2">
        <w:rPr>
          <w:rFonts w:ascii="Book Antiqua" w:hAnsi="Book Antiqua"/>
          <w:sz w:val="20"/>
          <w:szCs w:val="20"/>
        </w:rPr>
        <w:t>To the Father through the features of men’s faces.</w:t>
      </w:r>
      <w:r w:rsidR="00ED42EA">
        <w:rPr>
          <w:rStyle w:val="FootnoteReference"/>
          <w:rFonts w:ascii="Book Antiqua" w:hAnsi="Book Antiqua"/>
          <w:sz w:val="20"/>
          <w:szCs w:val="20"/>
        </w:rPr>
        <w:footnoteReference w:id="33"/>
      </w:r>
    </w:p>
    <w:p w:rsidR="00B93EF2" w:rsidRPr="00B93EF2" w:rsidRDefault="00B93EF2" w:rsidP="00B93EF2">
      <w:pPr>
        <w:spacing w:after="120"/>
        <w:rPr>
          <w:rFonts w:ascii="Book Antiqua" w:hAnsi="Book Antiqua"/>
        </w:rPr>
      </w:pPr>
      <w:r>
        <w:rPr>
          <w:rFonts w:ascii="Book Antiqua" w:hAnsi="Book Antiqua"/>
        </w:rPr>
        <w:lastRenderedPageBreak/>
        <w:t xml:space="preserve">The Wojtylan intuition would have it ‘To the Father through the features of man’s face.’  Not so, the </w:t>
      </w:r>
      <w:r w:rsidR="000A1B0A">
        <w:rPr>
          <w:rFonts w:ascii="Book Antiqua" w:hAnsi="Book Antiqua"/>
        </w:rPr>
        <w:t>affirmation of inscape by</w:t>
      </w:r>
      <w:r w:rsidR="00ED42EA">
        <w:rPr>
          <w:rFonts w:ascii="Book Antiqua" w:hAnsi="Book Antiqua"/>
        </w:rPr>
        <w:t xml:space="preserve"> the </w:t>
      </w:r>
      <w:r>
        <w:rPr>
          <w:rFonts w:ascii="Book Antiqua" w:hAnsi="Book Antiqua"/>
        </w:rPr>
        <w:t>son of Ignatius.</w:t>
      </w:r>
      <w:r w:rsidR="00597732">
        <w:rPr>
          <w:rFonts w:ascii="Book Antiqua" w:hAnsi="Book Antiqua"/>
        </w:rPr>
        <w:t xml:space="preserve">  And be it Thomist influence or Ignatian, the place of grace has always seemed to me to be ‘men’s faces,’ not ‘the face’ – ‘our bodies,’ not ‘the body</w:t>
      </w:r>
      <w:r w:rsidR="00B146C8">
        <w:rPr>
          <w:rFonts w:ascii="Book Antiqua" w:hAnsi="Book Antiqua"/>
        </w:rPr>
        <w:t>’</w:t>
      </w:r>
      <w:r w:rsidR="00597732">
        <w:rPr>
          <w:rFonts w:ascii="Book Antiqua" w:hAnsi="Book Antiqua"/>
        </w:rPr>
        <w:t xml:space="preserve"> – “And that,” as Frost observed, “has made all the difference.”</w:t>
      </w:r>
      <w:r w:rsidR="00597732">
        <w:rPr>
          <w:rStyle w:val="FootnoteReference"/>
          <w:rFonts w:ascii="Book Antiqua" w:hAnsi="Book Antiqua"/>
        </w:rPr>
        <w:footnoteReference w:id="34"/>
      </w:r>
      <w:r w:rsidR="00597732">
        <w:rPr>
          <w:rFonts w:ascii="Book Antiqua" w:hAnsi="Book Antiqua"/>
        </w:rPr>
        <w:t xml:space="preserve">  Two roads, “one less traveled by” in ecclesiastical circles these days, yet how different things appear along that byway.  Little in the way of archetypes, paradigms, and Husserlian intuitions</w:t>
      </w:r>
      <w:r w:rsidR="008016FA">
        <w:rPr>
          <w:rFonts w:ascii="Book Antiqua" w:hAnsi="Book Antiqua"/>
        </w:rPr>
        <w:t>.  Yet how manifold the “divers</w:t>
      </w:r>
      <w:r w:rsidR="000A1B0A">
        <w:rPr>
          <w:rFonts w:ascii="Book Antiqua" w:hAnsi="Book Antiqua"/>
        </w:rPr>
        <w:t xml:space="preserve"> fruits” and the existential inscape of “faces”</w:t>
      </w:r>
      <w:r w:rsidR="00597732">
        <w:rPr>
          <w:rFonts w:ascii="Book Antiqua" w:hAnsi="Book Antiqua"/>
        </w:rPr>
        <w:t xml:space="preserve"> – mostly the faces – in the “ten thousand places” through which that road winds.</w:t>
      </w:r>
    </w:p>
    <w:p w:rsidR="009A0A2F" w:rsidRDefault="009A0A2F" w:rsidP="009A0A2F">
      <w:pPr>
        <w:tabs>
          <w:tab w:val="left" w:pos="0"/>
        </w:tabs>
        <w:spacing w:after="120"/>
        <w:ind w:firstLine="720"/>
        <w:rPr>
          <w:rFonts w:ascii="Book Antiqua" w:hAnsi="Book Antiqua"/>
        </w:rPr>
      </w:pPr>
      <w:r>
        <w:rPr>
          <w:rFonts w:ascii="Book Antiqua" w:hAnsi="Book Antiqua"/>
        </w:rPr>
        <w:t xml:space="preserve">Or, to mix metaphors, perhaps there are ‘ten thousand’ roads.  When Dylan played at the </w:t>
      </w:r>
      <w:r w:rsidR="005458F6">
        <w:rPr>
          <w:rFonts w:ascii="Book Antiqua" w:hAnsi="Book Antiqua"/>
        </w:rPr>
        <w:t xml:space="preserve">1997 </w:t>
      </w:r>
      <w:r>
        <w:rPr>
          <w:rFonts w:ascii="Book Antiqua" w:hAnsi="Book Antiqua"/>
        </w:rPr>
        <w:t xml:space="preserve">Eucharistic Congress in Bologna, Pope John Paul </w:t>
      </w:r>
      <w:r w:rsidR="001A50A6">
        <w:rPr>
          <w:rFonts w:ascii="Book Antiqua" w:hAnsi="Book Antiqua"/>
        </w:rPr>
        <w:t>pointedly</w:t>
      </w:r>
      <w:r>
        <w:rPr>
          <w:rFonts w:ascii="Book Antiqua" w:hAnsi="Book Antiqua"/>
        </w:rPr>
        <w:t xml:space="preserve"> remarked:</w:t>
      </w:r>
    </w:p>
    <w:p w:rsidR="009A0A2F" w:rsidRPr="009A0A2F" w:rsidRDefault="009A0A2F" w:rsidP="009A0A2F">
      <w:pPr>
        <w:tabs>
          <w:tab w:val="left" w:pos="720"/>
        </w:tabs>
        <w:spacing w:after="120"/>
        <w:ind w:left="720" w:right="720"/>
        <w:rPr>
          <w:rFonts w:ascii="Book Antiqua" w:hAnsi="Book Antiqua"/>
          <w:sz w:val="20"/>
          <w:szCs w:val="20"/>
        </w:rPr>
      </w:pPr>
      <w:r>
        <w:rPr>
          <w:rFonts w:ascii="Book Antiqua" w:hAnsi="Book Antiqua"/>
          <w:sz w:val="20"/>
          <w:szCs w:val="20"/>
        </w:rPr>
        <w:t xml:space="preserve">You asked me:  </w:t>
      </w:r>
      <w:r w:rsidRPr="009A0A2F">
        <w:rPr>
          <w:rFonts w:ascii="Book Antiqua" w:hAnsi="Book Antiqua"/>
          <w:i/>
          <w:sz w:val="20"/>
          <w:szCs w:val="20"/>
        </w:rPr>
        <w:t>How many roads</w:t>
      </w:r>
      <w:r>
        <w:rPr>
          <w:rFonts w:ascii="Book Antiqua" w:hAnsi="Book Antiqua"/>
          <w:sz w:val="20"/>
          <w:szCs w:val="20"/>
        </w:rPr>
        <w:t xml:space="preserve"> must a man walk down before you call him a man?  I answer you:  </w:t>
      </w:r>
      <w:r w:rsidRPr="009A0A2F">
        <w:rPr>
          <w:rFonts w:ascii="Book Antiqua" w:hAnsi="Book Antiqua"/>
          <w:i/>
          <w:sz w:val="20"/>
          <w:szCs w:val="20"/>
        </w:rPr>
        <w:t>one</w:t>
      </w:r>
      <w:r>
        <w:rPr>
          <w:rFonts w:ascii="Book Antiqua" w:hAnsi="Book Antiqua"/>
          <w:sz w:val="20"/>
          <w:szCs w:val="20"/>
        </w:rPr>
        <w:t>!  There is only one road for man and it is Christ, who said:  “I am the way” (Jn 14.6).  He is the road of truth, the way of life.</w:t>
      </w:r>
      <w:r>
        <w:rPr>
          <w:rStyle w:val="FootnoteReference"/>
          <w:rFonts w:ascii="Book Antiqua" w:hAnsi="Book Antiqua"/>
          <w:sz w:val="20"/>
          <w:szCs w:val="20"/>
        </w:rPr>
        <w:footnoteReference w:id="35"/>
      </w:r>
    </w:p>
    <w:p w:rsidR="009A0A2F" w:rsidRDefault="009A0A2F" w:rsidP="00AB0162">
      <w:pPr>
        <w:tabs>
          <w:tab w:val="left" w:pos="9360"/>
        </w:tabs>
        <w:spacing w:after="120"/>
        <w:rPr>
          <w:rFonts w:ascii="Book Antiqua" w:hAnsi="Book Antiqua"/>
        </w:rPr>
      </w:pPr>
      <w:r>
        <w:rPr>
          <w:rFonts w:ascii="Book Antiqua" w:hAnsi="Book Antiqua"/>
        </w:rPr>
        <w:t>Might there not be many</w:t>
      </w:r>
      <w:r w:rsidRPr="009A0A2F">
        <w:rPr>
          <w:rFonts w:ascii="Book Antiqua" w:hAnsi="Book Antiqua"/>
          <w:i/>
        </w:rPr>
        <w:t xml:space="preserve"> roads</w:t>
      </w:r>
      <w:r>
        <w:rPr>
          <w:rFonts w:ascii="Book Antiqua" w:hAnsi="Book Antiqua"/>
        </w:rPr>
        <w:t xml:space="preserve"> – ‘ten thousand,’ say – headin’ the same </w:t>
      </w:r>
      <w:r w:rsidRPr="009A0A2F">
        <w:rPr>
          <w:rFonts w:ascii="Book Antiqua" w:hAnsi="Book Antiqua"/>
          <w:i/>
        </w:rPr>
        <w:t>way</w:t>
      </w:r>
      <w:r>
        <w:rPr>
          <w:rFonts w:ascii="Book Antiqua" w:hAnsi="Book Antiqua"/>
        </w:rPr>
        <w:t xml:space="preserve">?  Some perhaps ‘straight’-er than others, but plenty of ‘straight’ roads headin’ the other way, too. </w:t>
      </w:r>
      <w:r w:rsidRPr="009A0A2F">
        <w:rPr>
          <w:rFonts w:ascii="Book Antiqua" w:hAnsi="Book Antiqua"/>
          <w:i/>
        </w:rPr>
        <w:t xml:space="preserve"> The</w:t>
      </w:r>
      <w:r>
        <w:rPr>
          <w:rFonts w:ascii="Book Antiqua" w:hAnsi="Book Antiqua"/>
        </w:rPr>
        <w:t xml:space="preserve"> body, </w:t>
      </w:r>
      <w:r w:rsidRPr="009A0A2F">
        <w:rPr>
          <w:rFonts w:ascii="Book Antiqua" w:hAnsi="Book Antiqua"/>
          <w:i/>
        </w:rPr>
        <w:t>the</w:t>
      </w:r>
      <w:r>
        <w:rPr>
          <w:rFonts w:ascii="Book Antiqua" w:hAnsi="Book Antiqua"/>
        </w:rPr>
        <w:t xml:space="preserve"> face, </w:t>
      </w:r>
      <w:r w:rsidRPr="009A0A2F">
        <w:rPr>
          <w:rFonts w:ascii="Book Antiqua" w:hAnsi="Book Antiqua"/>
          <w:i/>
        </w:rPr>
        <w:t>the</w:t>
      </w:r>
      <w:r>
        <w:rPr>
          <w:rFonts w:ascii="Book Antiqua" w:hAnsi="Book Antiqua"/>
        </w:rPr>
        <w:t xml:space="preserve"> road.  And as egressing on the road</w:t>
      </w:r>
      <w:r w:rsidR="00CD0FEC">
        <w:rPr>
          <w:rFonts w:ascii="Book Antiqua" w:hAnsi="Book Antiqua"/>
        </w:rPr>
        <w:t>s</w:t>
      </w:r>
      <w:r>
        <w:rPr>
          <w:rFonts w:ascii="Book Antiqua" w:hAnsi="Book Antiqua"/>
        </w:rPr>
        <w:t xml:space="preserve"> of history oft’ tends toward regressing, even that was too much for then-Cardinal Ratzinger, who opined that Dylan – “that kind of ‘prophet’” -- should not have been invited there in the first place.</w:t>
      </w:r>
      <w:r>
        <w:rPr>
          <w:rStyle w:val="FootnoteReference"/>
          <w:rFonts w:ascii="Book Antiqua" w:hAnsi="Book Antiqua"/>
        </w:rPr>
        <w:footnoteReference w:id="36"/>
      </w:r>
      <w:r>
        <w:rPr>
          <w:rFonts w:ascii="Book Antiqua" w:hAnsi="Book Antiqua"/>
        </w:rPr>
        <w:t xml:space="preserve">  Could any such as he be bound for glory?  How many mansions can there be in the Father’s house?  How many roads to get there?  How many bodies traveling those roads?</w:t>
      </w:r>
    </w:p>
    <w:p w:rsidR="00E20308" w:rsidRDefault="00E20308" w:rsidP="00FF4CAE">
      <w:pPr>
        <w:spacing w:after="120"/>
        <w:rPr>
          <w:rFonts w:ascii="Book Antiqua" w:hAnsi="Book Antiqua"/>
        </w:rPr>
      </w:pPr>
      <w:r>
        <w:rPr>
          <w:rFonts w:ascii="Book Antiqua" w:hAnsi="Book Antiqua"/>
        </w:rPr>
        <w:tab/>
        <w:t>To render this more concre</w:t>
      </w:r>
      <w:r w:rsidR="004566BD">
        <w:rPr>
          <w:rFonts w:ascii="Book Antiqua" w:hAnsi="Book Antiqua"/>
        </w:rPr>
        <w:t>te, I return to Genesis 2.23 -- t</w:t>
      </w:r>
      <w:r>
        <w:rPr>
          <w:rFonts w:ascii="Book Antiqua" w:hAnsi="Book Antiqua"/>
        </w:rPr>
        <w:t>he “Aha!”, which John Paul noted in spirit, if the language came from elsew</w:t>
      </w:r>
      <w:r w:rsidR="007916AD">
        <w:rPr>
          <w:rFonts w:ascii="Book Antiqua" w:hAnsi="Book Antiqua"/>
        </w:rPr>
        <w:t>here.  The spirit of that simple</w:t>
      </w:r>
      <w:r>
        <w:rPr>
          <w:rFonts w:ascii="Book Antiqua" w:hAnsi="Book Antiqua"/>
        </w:rPr>
        <w:t xml:space="preserve"> word has been lyrically translated myriad times.  Here is Dylan’s translation:</w:t>
      </w:r>
    </w:p>
    <w:p w:rsidR="00E20308" w:rsidRDefault="00E20308" w:rsidP="00E20308">
      <w:pPr>
        <w:spacing w:after="120"/>
        <w:ind w:left="720" w:right="720"/>
        <w:contextualSpacing/>
        <w:rPr>
          <w:rFonts w:ascii="Book Antiqua" w:hAnsi="Book Antiqua"/>
          <w:sz w:val="20"/>
          <w:szCs w:val="20"/>
        </w:rPr>
      </w:pPr>
      <w:r>
        <w:rPr>
          <w:rFonts w:ascii="Book Antiqua" w:hAnsi="Book Antiqua"/>
          <w:sz w:val="20"/>
          <w:szCs w:val="20"/>
        </w:rPr>
        <w:t>Suddenly I turned around and she was standin’ there</w:t>
      </w:r>
    </w:p>
    <w:p w:rsidR="00E20308" w:rsidRDefault="00E20308" w:rsidP="00E20308">
      <w:pPr>
        <w:spacing w:after="120"/>
        <w:ind w:left="720" w:right="720"/>
        <w:contextualSpacing/>
        <w:rPr>
          <w:rFonts w:ascii="Book Antiqua" w:hAnsi="Book Antiqua"/>
          <w:sz w:val="20"/>
          <w:szCs w:val="20"/>
        </w:rPr>
      </w:pPr>
      <w:r>
        <w:rPr>
          <w:rFonts w:ascii="Book Antiqua" w:hAnsi="Book Antiqua"/>
          <w:sz w:val="20"/>
          <w:szCs w:val="20"/>
        </w:rPr>
        <w:t>With silver bracelets on her wrists and flowers in her hair.</w:t>
      </w:r>
    </w:p>
    <w:p w:rsidR="00E20308" w:rsidRDefault="00E20308" w:rsidP="00E20308">
      <w:pPr>
        <w:spacing w:after="120"/>
        <w:ind w:left="720" w:right="720"/>
        <w:contextualSpacing/>
        <w:rPr>
          <w:rFonts w:ascii="Book Antiqua" w:hAnsi="Book Antiqua"/>
          <w:sz w:val="20"/>
          <w:szCs w:val="20"/>
        </w:rPr>
      </w:pPr>
      <w:r>
        <w:rPr>
          <w:rFonts w:ascii="Book Antiqua" w:hAnsi="Book Antiqua"/>
          <w:sz w:val="20"/>
          <w:szCs w:val="20"/>
        </w:rPr>
        <w:t>She walked up to me so gracefully and took my crown of thorns.</w:t>
      </w:r>
    </w:p>
    <w:p w:rsidR="00E20308" w:rsidRDefault="00E20308" w:rsidP="00E20308">
      <w:pPr>
        <w:spacing w:after="120"/>
        <w:ind w:left="720" w:right="720"/>
        <w:contextualSpacing/>
        <w:rPr>
          <w:rFonts w:ascii="Book Antiqua" w:hAnsi="Book Antiqua"/>
          <w:sz w:val="20"/>
          <w:szCs w:val="20"/>
        </w:rPr>
      </w:pPr>
      <w:r>
        <w:rPr>
          <w:rFonts w:ascii="Book Antiqua" w:hAnsi="Book Antiqua"/>
          <w:sz w:val="20"/>
          <w:szCs w:val="20"/>
        </w:rPr>
        <w:t>“Come in,” she said,</w:t>
      </w:r>
    </w:p>
    <w:p w:rsidR="00E20308" w:rsidRPr="00E20308" w:rsidRDefault="00E20308" w:rsidP="0092037E">
      <w:pPr>
        <w:spacing w:after="120"/>
        <w:ind w:left="720" w:right="720"/>
        <w:rPr>
          <w:rFonts w:ascii="Book Antiqua" w:hAnsi="Book Antiqua"/>
          <w:sz w:val="20"/>
          <w:szCs w:val="20"/>
        </w:rPr>
      </w:pPr>
      <w:r>
        <w:rPr>
          <w:rFonts w:ascii="Book Antiqua" w:hAnsi="Book Antiqua"/>
          <w:sz w:val="20"/>
          <w:szCs w:val="20"/>
        </w:rPr>
        <w:t>“I’ll give you shelter from the storm.”</w:t>
      </w:r>
      <w:r>
        <w:rPr>
          <w:rStyle w:val="FootnoteReference"/>
          <w:rFonts w:ascii="Book Antiqua" w:hAnsi="Book Antiqua"/>
          <w:sz w:val="20"/>
          <w:szCs w:val="20"/>
        </w:rPr>
        <w:footnoteReference w:id="37"/>
      </w:r>
    </w:p>
    <w:p w:rsidR="0092037E" w:rsidRDefault="0092037E" w:rsidP="00FF4CAE">
      <w:pPr>
        <w:spacing w:after="120"/>
        <w:rPr>
          <w:rFonts w:ascii="Book Antiqua" w:hAnsi="Book Antiqua"/>
        </w:rPr>
      </w:pPr>
      <w:r>
        <w:rPr>
          <w:rFonts w:ascii="Book Antiqua" w:hAnsi="Book Antiqua"/>
        </w:rPr>
        <w:t>Aidan Day’s commentary reads as though it could have been written by John Paul:</w:t>
      </w:r>
    </w:p>
    <w:p w:rsidR="0092037E" w:rsidRPr="0092037E" w:rsidRDefault="0092037E" w:rsidP="0092037E">
      <w:pPr>
        <w:spacing w:after="120"/>
        <w:ind w:left="720" w:right="720"/>
        <w:rPr>
          <w:rFonts w:ascii="Book Antiqua" w:hAnsi="Book Antiqua"/>
          <w:sz w:val="20"/>
          <w:szCs w:val="20"/>
        </w:rPr>
      </w:pPr>
      <w:r>
        <w:rPr>
          <w:rFonts w:ascii="Book Antiqua" w:hAnsi="Book Antiqua"/>
          <w:sz w:val="20"/>
          <w:szCs w:val="20"/>
        </w:rPr>
        <w:t xml:space="preserve">The meetings in ‘Shelter from the Storm’ envisage respite from suffering and healing of fragmentation; respite and healing that are caught in the reciprocities of self and other that characterize the refrain, where the ‘I’ of the speaker of the verses becomes a ‘you’ to </w:t>
      </w:r>
      <w:r>
        <w:rPr>
          <w:rFonts w:ascii="Book Antiqua" w:hAnsi="Book Antiqua"/>
          <w:sz w:val="20"/>
          <w:szCs w:val="20"/>
        </w:rPr>
        <w:lastRenderedPageBreak/>
        <w:t>the ‘she’ who in turn is</w:t>
      </w:r>
      <w:r w:rsidR="00502D7B">
        <w:rPr>
          <w:rFonts w:ascii="Book Antiqua" w:hAnsi="Book Antiqua"/>
          <w:sz w:val="20"/>
          <w:szCs w:val="20"/>
        </w:rPr>
        <w:t xml:space="preserve"> translated into a speaking ‘I.’</w:t>
      </w:r>
      <w:r>
        <w:rPr>
          <w:rFonts w:ascii="Book Antiqua" w:hAnsi="Book Antiqua"/>
          <w:sz w:val="20"/>
          <w:szCs w:val="20"/>
        </w:rPr>
        <w:t xml:space="preserve">  But reciprocity is not integration.  As the speaker records his continuing separation from the ‘she’, so even the insistent repetition of that other’s offer of shelter defines a presence continually reapprehended, never finally possessed.</w:t>
      </w:r>
      <w:r>
        <w:rPr>
          <w:rStyle w:val="FootnoteReference"/>
          <w:rFonts w:ascii="Book Antiqua" w:hAnsi="Book Antiqua"/>
          <w:sz w:val="20"/>
          <w:szCs w:val="20"/>
        </w:rPr>
        <w:footnoteReference w:id="38"/>
      </w:r>
    </w:p>
    <w:p w:rsidR="0092037E" w:rsidRDefault="0092037E" w:rsidP="00FF4CAE">
      <w:pPr>
        <w:spacing w:after="120"/>
        <w:rPr>
          <w:rFonts w:ascii="Book Antiqua" w:hAnsi="Book Antiqua"/>
        </w:rPr>
      </w:pPr>
      <w:r>
        <w:rPr>
          <w:rFonts w:ascii="Book Antiqua" w:hAnsi="Book Antiqua"/>
        </w:rPr>
        <w:t xml:space="preserve">The mystery of solitude yielding to communion, without solitude being extinguished.  No wonder that John Paul wanted to hear Dylan, nor that the </w:t>
      </w:r>
      <w:r w:rsidR="00840AB6">
        <w:rPr>
          <w:rFonts w:ascii="Book Antiqua" w:hAnsi="Book Antiqua"/>
        </w:rPr>
        <w:t>song-and-dance-man</w:t>
      </w:r>
      <w:r>
        <w:rPr>
          <w:rFonts w:ascii="Book Antiqua" w:hAnsi="Book Antiqua"/>
        </w:rPr>
        <w:t xml:space="preserve"> wanted to play for the Poet-Pope.  Both knew much of storms and shelter, suffering and healing, solitude and communion, the ‘Aha!’ of recognizing an ‘other’ reciprocal to ‘self.’</w:t>
      </w:r>
    </w:p>
    <w:p w:rsidR="0092037E" w:rsidRDefault="0092037E" w:rsidP="00FF4CAE">
      <w:pPr>
        <w:spacing w:after="120"/>
        <w:rPr>
          <w:rFonts w:ascii="Book Antiqua" w:hAnsi="Book Antiqua"/>
        </w:rPr>
      </w:pPr>
      <w:r>
        <w:rPr>
          <w:rFonts w:ascii="Book Antiqua" w:hAnsi="Book Antiqua"/>
        </w:rPr>
        <w:tab/>
        <w:t>Another ‘translation’ is found in ‘Adam Waiting in the Garden for Eve’, an engraving</w:t>
      </w:r>
      <w:r w:rsidR="002E6069">
        <w:rPr>
          <w:rFonts w:ascii="Book Antiqua" w:hAnsi="Book Antiqua"/>
        </w:rPr>
        <w:t xml:space="preserve"> </w:t>
      </w:r>
      <w:r>
        <w:rPr>
          <w:rFonts w:ascii="Book Antiqua" w:hAnsi="Book Antiqua"/>
        </w:rPr>
        <w:t>by the late Joseph O’Connell, longtime artist at St. John’s in Collegeville.  A leafy garden of a brownstone tenement, inviting Garrison Keillor’s gloss:</w:t>
      </w:r>
    </w:p>
    <w:p w:rsidR="0092037E" w:rsidRPr="0092037E" w:rsidRDefault="0092037E" w:rsidP="0092037E">
      <w:pPr>
        <w:spacing w:after="120"/>
        <w:ind w:left="720" w:right="720"/>
        <w:rPr>
          <w:rFonts w:ascii="Book Antiqua" w:hAnsi="Book Antiqua"/>
          <w:sz w:val="20"/>
          <w:szCs w:val="20"/>
        </w:rPr>
      </w:pPr>
      <w:r>
        <w:rPr>
          <w:rFonts w:ascii="Book Antiqua" w:hAnsi="Book Antiqua"/>
          <w:sz w:val="20"/>
          <w:szCs w:val="20"/>
        </w:rPr>
        <w:t>. . . the First Man in abject boredom waiting for the First Woman, her magnificent haunches visible through a window, to finish her ablutions and do her toilet. . .</w:t>
      </w:r>
      <w:r>
        <w:rPr>
          <w:rStyle w:val="FootnoteReference"/>
          <w:rFonts w:ascii="Book Antiqua" w:hAnsi="Book Antiqua"/>
          <w:sz w:val="20"/>
          <w:szCs w:val="20"/>
        </w:rPr>
        <w:footnoteReference w:id="39"/>
      </w:r>
    </w:p>
    <w:p w:rsidR="0092037E" w:rsidRDefault="0092037E" w:rsidP="00FF4CAE">
      <w:pPr>
        <w:spacing w:after="120"/>
        <w:rPr>
          <w:rFonts w:ascii="Book Antiqua" w:hAnsi="Book Antiqua"/>
        </w:rPr>
      </w:pPr>
      <w:r>
        <w:rPr>
          <w:rFonts w:ascii="Book Antiqua" w:hAnsi="Book Antiqua"/>
        </w:rPr>
        <w:t>Something in him stirs.  The nakedness here signifying “the original good of God’s vision.”</w:t>
      </w:r>
      <w:r>
        <w:rPr>
          <w:rStyle w:val="FootnoteReference"/>
          <w:rFonts w:ascii="Book Antiqua" w:hAnsi="Book Antiqua"/>
        </w:rPr>
        <w:footnoteReference w:id="40"/>
      </w:r>
      <w:r>
        <w:rPr>
          <w:rFonts w:ascii="Book Antiqua" w:hAnsi="Book Antiqua"/>
        </w:rPr>
        <w:t xml:space="preserve">  Adam’s limpid arm outstretched toward Eve, my eye recalling Michelangelo’s Adamic arm outstretched to the Creator.  In both outstretchings, a new creation coming to be.</w:t>
      </w:r>
    </w:p>
    <w:p w:rsidR="0092037E" w:rsidRDefault="0092037E" w:rsidP="00FF4CAE">
      <w:pPr>
        <w:spacing w:after="120"/>
        <w:rPr>
          <w:rFonts w:ascii="Book Antiqua" w:hAnsi="Book Antiqua"/>
        </w:rPr>
      </w:pPr>
      <w:r>
        <w:rPr>
          <w:rFonts w:ascii="Book Antiqua" w:hAnsi="Book Antiqua"/>
        </w:rPr>
        <w:tab/>
        <w:t>A final translation, that of Walker Percy, allows Eve the “Aha!”.  Middle-aged, despairing Will Barrett, awakened from suicidal stupor by a toothache, falls from his spelunking into the edenic garden of Allie’s greenhouse.  She, half his age and recently escaped from a mental hospital, tends to the wounds of his unconscious self, and feels her solitude stirred at the sight of his nakedness.  He awakens, and the “Aha!” comes dialogically:</w:t>
      </w:r>
    </w:p>
    <w:p w:rsidR="0092037E" w:rsidRDefault="0092037E" w:rsidP="00D01ED3">
      <w:pPr>
        <w:spacing w:after="60"/>
        <w:ind w:left="720" w:right="720"/>
        <w:rPr>
          <w:rFonts w:ascii="Book Antiqua" w:hAnsi="Book Antiqua"/>
          <w:sz w:val="20"/>
          <w:szCs w:val="20"/>
        </w:rPr>
      </w:pPr>
      <w:r>
        <w:rPr>
          <w:rFonts w:ascii="Book Antiqua" w:hAnsi="Book Antiqua"/>
          <w:sz w:val="20"/>
          <w:szCs w:val="20"/>
        </w:rPr>
        <w:t>He was silent for a long time.  He seemed to be watching the rain.  He put his hand in the small of her back.  Oh my, she thought.  Lightning flickered.  At last he smiled in the lightening. . .</w:t>
      </w:r>
    </w:p>
    <w:p w:rsidR="0092037E" w:rsidRDefault="0092037E" w:rsidP="00D01ED3">
      <w:pPr>
        <w:spacing w:after="60"/>
        <w:ind w:left="720" w:right="720"/>
        <w:rPr>
          <w:rFonts w:ascii="Book Antiqua" w:hAnsi="Book Antiqua"/>
          <w:sz w:val="20"/>
          <w:szCs w:val="20"/>
        </w:rPr>
      </w:pPr>
      <w:r>
        <w:rPr>
          <w:rFonts w:ascii="Book Antiqua" w:hAnsi="Book Antiqua"/>
          <w:sz w:val="20"/>
          <w:szCs w:val="20"/>
        </w:rPr>
        <w:t>“You feel so good.  Me too.  The good is all over me, starting with my back.  Now I understand how the two work together.”</w:t>
      </w:r>
    </w:p>
    <w:p w:rsidR="0092037E" w:rsidRDefault="0092037E" w:rsidP="00D01ED3">
      <w:pPr>
        <w:spacing w:after="60"/>
        <w:ind w:left="720" w:right="720"/>
        <w:rPr>
          <w:rFonts w:ascii="Book Antiqua" w:hAnsi="Book Antiqua"/>
          <w:sz w:val="20"/>
          <w:szCs w:val="20"/>
        </w:rPr>
      </w:pPr>
      <w:r>
        <w:rPr>
          <w:rFonts w:ascii="Book Antiqua" w:hAnsi="Book Antiqua"/>
          <w:sz w:val="20"/>
          <w:szCs w:val="20"/>
        </w:rPr>
        <w:t>“What two?”</w:t>
      </w:r>
    </w:p>
    <w:p w:rsidR="0092037E" w:rsidRDefault="00CB0543" w:rsidP="00D01ED3">
      <w:pPr>
        <w:spacing w:after="60"/>
        <w:ind w:left="720" w:right="720"/>
        <w:rPr>
          <w:rFonts w:ascii="Book Antiqua" w:hAnsi="Book Antiqua"/>
          <w:sz w:val="20"/>
          <w:szCs w:val="20"/>
        </w:rPr>
      </w:pPr>
      <w:r>
        <w:rPr>
          <w:rFonts w:ascii="Book Antiqua" w:hAnsi="Book Antiqua"/>
          <w:sz w:val="20"/>
          <w:szCs w:val="20"/>
        </w:rPr>
        <w:t>“</w:t>
      </w:r>
      <w:r w:rsidR="0092037E">
        <w:rPr>
          <w:rFonts w:ascii="Book Antiqua" w:hAnsi="Book Antiqua"/>
          <w:sz w:val="20"/>
          <w:szCs w:val="20"/>
        </w:rPr>
        <w:t xml:space="preserve">The it and the doing, the noun and the verb, sweet </w:t>
      </w:r>
      <w:proofErr w:type="spellStart"/>
      <w:r w:rsidR="0092037E">
        <w:rPr>
          <w:rFonts w:ascii="Book Antiqua" w:hAnsi="Book Antiqua"/>
          <w:sz w:val="20"/>
          <w:szCs w:val="20"/>
        </w:rPr>
        <w:t>sweet</w:t>
      </w:r>
      <w:proofErr w:type="spellEnd"/>
      <w:r w:rsidR="0092037E">
        <w:rPr>
          <w:rFonts w:ascii="Book Antiqua" w:hAnsi="Book Antiqua"/>
          <w:sz w:val="20"/>
          <w:szCs w:val="20"/>
        </w:rPr>
        <w:t xml:space="preserve"> love and a putting it to you, loving and hating, you and I.”</w:t>
      </w:r>
    </w:p>
    <w:p w:rsidR="0092037E" w:rsidRDefault="0092037E" w:rsidP="00D01ED3">
      <w:pPr>
        <w:spacing w:after="60"/>
        <w:ind w:left="720" w:right="720"/>
        <w:rPr>
          <w:rFonts w:ascii="Book Antiqua" w:hAnsi="Book Antiqua"/>
          <w:sz w:val="20"/>
          <w:szCs w:val="20"/>
        </w:rPr>
      </w:pPr>
      <w:r>
        <w:rPr>
          <w:rFonts w:ascii="Book Antiqua" w:hAnsi="Book Antiqua"/>
          <w:sz w:val="20"/>
          <w:szCs w:val="20"/>
        </w:rPr>
        <w:t>He laughed.  “You do, don’t you?  What happens to the two?”</w:t>
      </w:r>
    </w:p>
    <w:p w:rsidR="0092037E" w:rsidRDefault="0092037E" w:rsidP="00D01ED3">
      <w:pPr>
        <w:spacing w:after="60"/>
        <w:ind w:left="720" w:right="720"/>
        <w:rPr>
          <w:rFonts w:ascii="Book Antiqua" w:hAnsi="Book Antiqua"/>
          <w:sz w:val="20"/>
          <w:szCs w:val="20"/>
        </w:rPr>
      </w:pPr>
      <w:r>
        <w:rPr>
          <w:rFonts w:ascii="Book Antiqua" w:hAnsi="Book Antiqua"/>
          <w:sz w:val="20"/>
          <w:szCs w:val="20"/>
        </w:rPr>
        <w:t>“They become one but not in the sappy way of the saying?”</w:t>
      </w:r>
    </w:p>
    <w:p w:rsidR="0092037E" w:rsidRDefault="0092037E" w:rsidP="00D01ED3">
      <w:pPr>
        <w:spacing w:after="60"/>
        <w:ind w:left="720" w:right="720"/>
        <w:rPr>
          <w:rFonts w:ascii="Book Antiqua" w:hAnsi="Book Antiqua"/>
          <w:sz w:val="20"/>
          <w:szCs w:val="20"/>
        </w:rPr>
      </w:pPr>
      <w:r>
        <w:rPr>
          <w:rFonts w:ascii="Book Antiqua" w:hAnsi="Book Antiqua"/>
          <w:sz w:val="20"/>
          <w:szCs w:val="20"/>
        </w:rPr>
        <w:t>“What way, then?”</w:t>
      </w:r>
    </w:p>
    <w:p w:rsidR="0092037E" w:rsidRDefault="0092037E" w:rsidP="0092037E">
      <w:pPr>
        <w:spacing w:after="120"/>
        <w:ind w:left="720" w:right="720"/>
        <w:rPr>
          <w:rFonts w:ascii="Book Antiqua" w:hAnsi="Book Antiqua"/>
          <w:sz w:val="20"/>
          <w:szCs w:val="20"/>
        </w:rPr>
      </w:pPr>
      <w:r>
        <w:rPr>
          <w:rFonts w:ascii="Book Antiqua" w:hAnsi="Book Antiqua"/>
          <w:sz w:val="20"/>
          <w:szCs w:val="20"/>
        </w:rPr>
        <w:t>“One plus one equals one and oh boy almond joy.”</w:t>
      </w:r>
      <w:r w:rsidR="00A62633">
        <w:rPr>
          <w:rStyle w:val="FootnoteReference"/>
          <w:rFonts w:ascii="Book Antiqua" w:hAnsi="Book Antiqua"/>
          <w:sz w:val="20"/>
          <w:szCs w:val="20"/>
        </w:rPr>
        <w:footnoteReference w:id="41"/>
      </w:r>
    </w:p>
    <w:p w:rsidR="0092037E" w:rsidRDefault="00A62633" w:rsidP="00A62633">
      <w:pPr>
        <w:tabs>
          <w:tab w:val="left" w:pos="0"/>
        </w:tabs>
        <w:spacing w:after="120"/>
        <w:rPr>
          <w:rFonts w:ascii="Book Antiqua" w:hAnsi="Book Antiqua"/>
        </w:rPr>
      </w:pPr>
      <w:r>
        <w:rPr>
          <w:rFonts w:ascii="Book Antiqua" w:hAnsi="Book Antiqua"/>
        </w:rPr>
        <w:lastRenderedPageBreak/>
        <w:t xml:space="preserve">A moral theologian would be </w:t>
      </w:r>
      <w:r w:rsidR="006D4397">
        <w:rPr>
          <w:rFonts w:ascii="Book Antiqua" w:hAnsi="Book Antiqua"/>
        </w:rPr>
        <w:t>troubled.  He is only very recently widowed</w:t>
      </w:r>
      <w:r>
        <w:rPr>
          <w:rFonts w:ascii="Book Antiqua" w:hAnsi="Book Antiqua"/>
        </w:rPr>
        <w:t>, and once had a dalliance with Allie’s mother</w:t>
      </w:r>
      <w:r w:rsidR="00B21020">
        <w:rPr>
          <w:rFonts w:ascii="Book Antiqua" w:hAnsi="Book Antiqua"/>
        </w:rPr>
        <w:t xml:space="preserve">.  She is a ‘vulnerable adult,’ Will her legal guardian.  But, moral complications aside, spirits are discerned.  Solitude yields to communion, without erasing solitude; </w:t>
      </w:r>
      <w:r w:rsidR="005F6E57">
        <w:rPr>
          <w:rFonts w:ascii="Book Antiqua" w:hAnsi="Book Antiqua"/>
        </w:rPr>
        <w:t>j</w:t>
      </w:r>
      <w:r w:rsidR="00B21020">
        <w:rPr>
          <w:rFonts w:ascii="Book Antiqua" w:hAnsi="Book Antiqua"/>
        </w:rPr>
        <w:t>oy abounds for both, his suicidal nihilism and her mental disintegration both abating.  The moralist would miss the ‘original innocence’ of it all.</w:t>
      </w:r>
      <w:r w:rsidR="005F6E57">
        <w:rPr>
          <w:rFonts w:ascii="Book Antiqua" w:hAnsi="Book Antiqua"/>
        </w:rPr>
        <w:t xml:space="preserve">  The novelist didn’t.  Percy posits his titular ‘coming’ as a </w:t>
      </w:r>
      <w:r w:rsidR="005F6E57" w:rsidRPr="005F6E57">
        <w:rPr>
          <w:rFonts w:ascii="Book Antiqua" w:hAnsi="Book Antiqua"/>
          <w:i/>
        </w:rPr>
        <w:t>double entendre</w:t>
      </w:r>
      <w:r w:rsidR="005F6E57">
        <w:rPr>
          <w:rFonts w:ascii="Book Antiqua" w:hAnsi="Book Antiqua"/>
        </w:rPr>
        <w:t>, simultaneously sexual and eschatological.</w:t>
      </w:r>
      <w:r w:rsidR="003E549C">
        <w:rPr>
          <w:rFonts w:ascii="Book Antiqua" w:hAnsi="Book Antiqua"/>
        </w:rPr>
        <w:t xml:space="preserve">  The limpid arm had straightened, the clouded mind cleared.  Oh boy almond joy.  Aha!</w:t>
      </w:r>
      <w:r w:rsidR="00CC69B7">
        <w:rPr>
          <w:rFonts w:ascii="Book Antiqua" w:hAnsi="Book Antiqua"/>
        </w:rPr>
        <w:t xml:space="preserve">  Aah!</w:t>
      </w:r>
    </w:p>
    <w:p w:rsidR="008D334A" w:rsidRDefault="008D334A" w:rsidP="00A62633">
      <w:pPr>
        <w:tabs>
          <w:tab w:val="left" w:pos="0"/>
        </w:tabs>
        <w:spacing w:after="120"/>
        <w:rPr>
          <w:rFonts w:ascii="Book Antiqua" w:hAnsi="Book Antiqua"/>
        </w:rPr>
      </w:pPr>
      <w:r>
        <w:rPr>
          <w:rFonts w:ascii="Book Antiqua" w:hAnsi="Book Antiqua"/>
        </w:rPr>
        <w:tab/>
        <w:t>These translations have much in common with Pope John Paul’s reflections.  All speak of the original experience of solitude, communion, innocence, shame, and the “Aha!” between a</w:t>
      </w:r>
      <w:r w:rsidR="00690FBB">
        <w:rPr>
          <w:rFonts w:ascii="Book Antiqua" w:hAnsi="Book Antiqua"/>
        </w:rPr>
        <w:t xml:space="preserve"> </w:t>
      </w:r>
      <w:r>
        <w:rPr>
          <w:rFonts w:ascii="Book Antiqua" w:hAnsi="Book Antiqua"/>
        </w:rPr>
        <w:t xml:space="preserve">man and </w:t>
      </w:r>
      <w:r w:rsidR="001C1720">
        <w:rPr>
          <w:rFonts w:ascii="Book Antiqua" w:hAnsi="Book Antiqua"/>
        </w:rPr>
        <w:t xml:space="preserve">a </w:t>
      </w:r>
      <w:r>
        <w:rPr>
          <w:rFonts w:ascii="Book Antiqua" w:hAnsi="Book Antiqua"/>
        </w:rPr>
        <w:t>woman.  But there is a difference of focus, and focusing pertains to method.  Phenomenology proceeds by means of eidetic reduction.  One has an insight (</w:t>
      </w:r>
      <w:r w:rsidRPr="008D334A">
        <w:rPr>
          <w:rFonts w:ascii="Book Antiqua" w:hAnsi="Book Antiqua"/>
          <w:i/>
        </w:rPr>
        <w:t>eidos</w:t>
      </w:r>
      <w:r>
        <w:rPr>
          <w:rFonts w:ascii="Book Antiqua" w:hAnsi="Book Antiqua"/>
        </w:rPr>
        <w:t>), and proceeds to give “an account, description, presentation of data structured by insight.”</w:t>
      </w:r>
      <w:r>
        <w:rPr>
          <w:rStyle w:val="FootnoteReference"/>
          <w:rFonts w:ascii="Book Antiqua" w:hAnsi="Book Antiqua"/>
        </w:rPr>
        <w:footnoteReference w:id="42"/>
      </w:r>
      <w:r w:rsidR="003209E6">
        <w:rPr>
          <w:rFonts w:ascii="Book Antiqua" w:hAnsi="Book Antiqua"/>
        </w:rPr>
        <w:t xml:space="preserve">  Thus, the ‘reduction’ – whatever is not structured by the insight is bracketed from consideration.  The subsequent reflection is, thus, selective.  John Paul’s selective focus is on</w:t>
      </w:r>
      <w:r w:rsidR="003209E6" w:rsidRPr="003209E6">
        <w:rPr>
          <w:rFonts w:ascii="Book Antiqua" w:hAnsi="Book Antiqua"/>
          <w:i/>
        </w:rPr>
        <w:t xml:space="preserve"> ish</w:t>
      </w:r>
      <w:r w:rsidR="003209E6">
        <w:rPr>
          <w:rFonts w:ascii="Book Antiqua" w:hAnsi="Book Antiqua"/>
        </w:rPr>
        <w:t xml:space="preserve"> and </w:t>
      </w:r>
      <w:r w:rsidR="003209E6" w:rsidRPr="003209E6">
        <w:rPr>
          <w:rFonts w:ascii="Book Antiqua" w:hAnsi="Book Antiqua"/>
          <w:i/>
        </w:rPr>
        <w:t>ishah</w:t>
      </w:r>
      <w:r w:rsidR="003209E6">
        <w:rPr>
          <w:rFonts w:ascii="Book Antiqua" w:hAnsi="Book Antiqua"/>
        </w:rPr>
        <w:t>, the sexually differentiated man and woman.  In short, what he offers is a phenomenology of hetero-sexual love.  Other possibilities are bracketed from consideration.</w:t>
      </w:r>
    </w:p>
    <w:p w:rsidR="003C0D33" w:rsidRDefault="003209E6" w:rsidP="00A62633">
      <w:pPr>
        <w:tabs>
          <w:tab w:val="left" w:pos="0"/>
        </w:tabs>
        <w:spacing w:after="120"/>
        <w:rPr>
          <w:rFonts w:ascii="Book Antiqua" w:hAnsi="Book Antiqua"/>
        </w:rPr>
      </w:pPr>
      <w:r>
        <w:rPr>
          <w:rFonts w:ascii="Book Antiqua" w:hAnsi="Book Antiqua"/>
        </w:rPr>
        <w:tab/>
        <w:t>Thus, Lonergan observes that phenomenologists “do brilliant work in particular limited fields, but phenomenology does not head toward a synthesis, towards unification.”</w:t>
      </w:r>
      <w:r>
        <w:rPr>
          <w:rStyle w:val="FootnoteReference"/>
          <w:rFonts w:ascii="Book Antiqua" w:hAnsi="Book Antiqua"/>
        </w:rPr>
        <w:footnoteReference w:id="43"/>
      </w:r>
      <w:r>
        <w:rPr>
          <w:rFonts w:ascii="Book Antiqua" w:hAnsi="Book Antiqua"/>
        </w:rPr>
        <w:t xml:space="preserve">  He further notes Husserl’s insistence on pursuing necessity and absolute certitude, a pursuit with roots in both ancient Greece and Cartesian rationalism</w:t>
      </w:r>
      <w:r w:rsidR="008F4857">
        <w:rPr>
          <w:rFonts w:ascii="Book Antiqua" w:hAnsi="Book Antiqua"/>
        </w:rPr>
        <w:t>.</w:t>
      </w:r>
      <w:r w:rsidR="00A80E85">
        <w:rPr>
          <w:rStyle w:val="FootnoteReference"/>
          <w:rFonts w:ascii="Book Antiqua" w:hAnsi="Book Antiqua"/>
        </w:rPr>
        <w:footnoteReference w:id="44"/>
      </w:r>
      <w:r>
        <w:rPr>
          <w:rFonts w:ascii="Book Antiqua" w:hAnsi="Book Antiqua"/>
        </w:rPr>
        <w:t xml:space="preserve">  And this pursuit, Lonergan concludes, “is more than man can have, and consequently it is doomed to failure because it is overshooting </w:t>
      </w:r>
      <w:r>
        <w:rPr>
          <w:rFonts w:ascii="Book Antiqua" w:hAnsi="Book Antiqua"/>
        </w:rPr>
        <w:lastRenderedPageBreak/>
        <w:t>the mark.”</w:t>
      </w:r>
      <w:r>
        <w:rPr>
          <w:rStyle w:val="FootnoteReference"/>
          <w:rFonts w:ascii="Book Antiqua" w:hAnsi="Book Antiqua"/>
        </w:rPr>
        <w:footnoteReference w:id="45"/>
      </w:r>
      <w:r>
        <w:rPr>
          <w:rFonts w:ascii="Book Antiqua" w:hAnsi="Book Antiqua"/>
        </w:rPr>
        <w:t xml:space="preserve">  Needed as a corrective is the Thomist insistence that the good is always concrete, </w:t>
      </w:r>
      <w:r w:rsidR="007150DB">
        <w:rPr>
          <w:rFonts w:ascii="Book Antiqua" w:hAnsi="Book Antiqua"/>
        </w:rPr>
        <w:t xml:space="preserve">and </w:t>
      </w:r>
      <w:r>
        <w:rPr>
          <w:rFonts w:ascii="Book Antiqua" w:hAnsi="Book Antiqua"/>
        </w:rPr>
        <w:t>the existential</w:t>
      </w:r>
      <w:r w:rsidR="007150DB">
        <w:rPr>
          <w:rFonts w:ascii="Book Antiqua" w:hAnsi="Book Antiqua"/>
        </w:rPr>
        <w:t>ist</w:t>
      </w:r>
      <w:r>
        <w:rPr>
          <w:rFonts w:ascii="Book Antiqua" w:hAnsi="Book Antiqua"/>
        </w:rPr>
        <w:t xml:space="preserve"> corrective of focusing on “what is </w:t>
      </w:r>
      <w:r w:rsidRPr="003209E6">
        <w:rPr>
          <w:rFonts w:ascii="Book Antiqua" w:hAnsi="Book Antiqua"/>
          <w:i/>
        </w:rPr>
        <w:t>de facto</w:t>
      </w:r>
      <w:r>
        <w:rPr>
          <w:rFonts w:ascii="Book Antiqua" w:hAnsi="Book Antiqua"/>
        </w:rPr>
        <w:t>, concrete, contingent, unique, individual.”</w:t>
      </w:r>
      <w:r>
        <w:rPr>
          <w:rStyle w:val="FootnoteReference"/>
          <w:rFonts w:ascii="Book Antiqua" w:hAnsi="Book Antiqua"/>
        </w:rPr>
        <w:footnoteReference w:id="46"/>
      </w:r>
      <w:r>
        <w:rPr>
          <w:rFonts w:ascii="Book Antiqua" w:hAnsi="Book Antiqua"/>
        </w:rPr>
        <w:t xml:space="preserve">  Universal and necessary moral precepts, accordingly, do not s</w:t>
      </w:r>
      <w:r w:rsidR="003C0D33">
        <w:rPr>
          <w:rFonts w:ascii="Book Antiqua" w:hAnsi="Book Antiqua"/>
        </w:rPr>
        <w:t xml:space="preserve">uffice to determine the good.  </w:t>
      </w:r>
    </w:p>
    <w:p w:rsidR="003209E6" w:rsidRDefault="003209E6" w:rsidP="003C0D33">
      <w:pPr>
        <w:tabs>
          <w:tab w:val="left" w:pos="720"/>
        </w:tabs>
        <w:spacing w:after="120"/>
        <w:ind w:left="720" w:right="720"/>
        <w:rPr>
          <w:rFonts w:ascii="Book Antiqua" w:hAnsi="Book Antiqua"/>
        </w:rPr>
      </w:pPr>
      <w:r w:rsidRPr="003C0D33">
        <w:rPr>
          <w:rFonts w:ascii="Book Antiqua" w:hAnsi="Book Antiqua"/>
          <w:sz w:val="20"/>
          <w:szCs w:val="20"/>
        </w:rPr>
        <w:t>They can be no more than pointers to the direction of location in which the good lies, or limits indicating where the good does not lie.  There remains the problem for each one to work out concretely the good he can do by his decision in his concrete situation with his potentialities and possibilities.</w:t>
      </w:r>
      <w:r w:rsidRPr="003C0D33">
        <w:rPr>
          <w:rStyle w:val="FootnoteReference"/>
          <w:rFonts w:ascii="Book Antiqua" w:hAnsi="Book Antiqua"/>
          <w:sz w:val="20"/>
          <w:szCs w:val="20"/>
        </w:rPr>
        <w:footnoteReference w:id="47"/>
      </w:r>
    </w:p>
    <w:p w:rsidR="003209E6" w:rsidRDefault="003209E6" w:rsidP="00A62633">
      <w:pPr>
        <w:tabs>
          <w:tab w:val="left" w:pos="0"/>
        </w:tabs>
        <w:spacing w:after="120"/>
        <w:rPr>
          <w:rFonts w:ascii="Book Antiqua" w:hAnsi="Book Antiqua"/>
        </w:rPr>
      </w:pPr>
      <w:r>
        <w:rPr>
          <w:rFonts w:ascii="Book Antiqua" w:hAnsi="Book Antiqua"/>
        </w:rPr>
        <w:tab/>
        <w:t>To return to my three ‘translations,’ they seem more situated in the concrete, holding no pretensions to universality and necessity.  With John Paul, they consider a man, a woman, and an “Aha!” between them.  But whereas John Paul’s focus is on “a man, a woman,” the others’ focus is on the “Aha!”</w:t>
      </w:r>
      <w:r w:rsidR="00A80E85">
        <w:rPr>
          <w:rFonts w:ascii="Book Antiqua" w:hAnsi="Book Antiqua"/>
        </w:rPr>
        <w:t xml:space="preserve">, on </w:t>
      </w:r>
      <w:r w:rsidR="00A80E85" w:rsidRPr="00A80E85">
        <w:rPr>
          <w:rFonts w:ascii="Book Antiqua" w:hAnsi="Book Antiqua"/>
          <w:i/>
        </w:rPr>
        <w:t>this</w:t>
      </w:r>
      <w:r w:rsidR="00A80E85">
        <w:rPr>
          <w:rFonts w:ascii="Book Antiqua" w:hAnsi="Book Antiqua"/>
        </w:rPr>
        <w:t xml:space="preserve"> woman and</w:t>
      </w:r>
      <w:r w:rsidR="00A80E85" w:rsidRPr="00A80E85">
        <w:rPr>
          <w:rFonts w:ascii="Book Antiqua" w:hAnsi="Book Antiqua"/>
          <w:i/>
        </w:rPr>
        <w:t xml:space="preserve"> this</w:t>
      </w:r>
      <w:r w:rsidR="00A80E85">
        <w:rPr>
          <w:rFonts w:ascii="Book Antiqua" w:hAnsi="Book Antiqua"/>
        </w:rPr>
        <w:t xml:space="preserve"> man, the existential uniqueness, the inscape, of </w:t>
      </w:r>
      <w:r w:rsidR="00A80E85" w:rsidRPr="00A80E85">
        <w:rPr>
          <w:rFonts w:ascii="Book Antiqua" w:hAnsi="Book Antiqua"/>
          <w:i/>
        </w:rPr>
        <w:t>this</w:t>
      </w:r>
      <w:r w:rsidR="00A80E85">
        <w:rPr>
          <w:rFonts w:ascii="Book Antiqua" w:hAnsi="Book Antiqua"/>
        </w:rPr>
        <w:t xml:space="preserve"> particular encounter.</w:t>
      </w:r>
      <w:r>
        <w:rPr>
          <w:rFonts w:ascii="Book Antiqua" w:hAnsi="Book Antiqua"/>
        </w:rPr>
        <w:t xml:space="preserve">  And this latter focus could remain open to the possibility of an Adam who says “Aha!” to an Evan, not an Eve.  </w:t>
      </w:r>
      <w:r w:rsidR="000C0406">
        <w:rPr>
          <w:rFonts w:ascii="Book Antiqua" w:hAnsi="Book Antiqua"/>
        </w:rPr>
        <w:t xml:space="preserve">Such concrete events, such data, remain unstructured by the John-Pauline insight.  </w:t>
      </w:r>
      <w:r>
        <w:rPr>
          <w:rFonts w:ascii="Book Antiqua" w:hAnsi="Book Antiqua"/>
        </w:rPr>
        <w:t>Might gay lovers know their own solitude</w:t>
      </w:r>
      <w:r w:rsidR="000C0406">
        <w:rPr>
          <w:rFonts w:ascii="Book Antiqua" w:hAnsi="Book Antiqua"/>
        </w:rPr>
        <w:t>s</w:t>
      </w:r>
      <w:r>
        <w:rPr>
          <w:rFonts w:ascii="Book Antiqua" w:hAnsi="Book Antiqua"/>
        </w:rPr>
        <w:t>, their own commun</w:t>
      </w:r>
      <w:r w:rsidR="00A80E85">
        <w:rPr>
          <w:rFonts w:ascii="Book Antiqua" w:hAnsi="Book Antiqua"/>
        </w:rPr>
        <w:t>-</w:t>
      </w:r>
      <w:r>
        <w:rPr>
          <w:rFonts w:ascii="Book Antiqua" w:hAnsi="Book Antiqua"/>
        </w:rPr>
        <w:t>ion</w:t>
      </w:r>
      <w:r w:rsidR="000C0406">
        <w:rPr>
          <w:rFonts w:ascii="Book Antiqua" w:hAnsi="Book Antiqua"/>
        </w:rPr>
        <w:t>s?</w:t>
      </w:r>
      <w:r>
        <w:rPr>
          <w:rFonts w:ascii="Book Antiqua" w:hAnsi="Book Antiqua"/>
        </w:rPr>
        <w:t xml:space="preserve">  In our world, they can certainly put their finger on shame </w:t>
      </w:r>
      <w:r w:rsidR="00F53284">
        <w:rPr>
          <w:rFonts w:ascii="Book Antiqua" w:hAnsi="Book Antiqua"/>
        </w:rPr>
        <w:t>and fear.  Might they also say “Aha!”</w:t>
      </w:r>
      <w:r>
        <w:rPr>
          <w:rFonts w:ascii="Book Antiqua" w:hAnsi="Book Antiqua"/>
        </w:rPr>
        <w:t xml:space="preserve"> at the gift-of-self-given-and-received?  What might happen if, at least, you don’t bracket that possibility?  My suspicion is that gay lovers can listen to Dylan, view O’Connell, and read Percy,</w:t>
      </w:r>
      <w:r w:rsidR="00C252B6">
        <w:rPr>
          <w:rStyle w:val="FootnoteReference"/>
          <w:rFonts w:ascii="Book Antiqua" w:hAnsi="Book Antiqua"/>
        </w:rPr>
        <w:footnoteReference w:id="48"/>
      </w:r>
      <w:r>
        <w:rPr>
          <w:rFonts w:ascii="Book Antiqua" w:hAnsi="Book Antiqua"/>
        </w:rPr>
        <w:t xml:space="preserve"> and experience a ‘shock of recognition’ they might not experience in reading John Paul.  And this, I think, is unfortunate, because if the papal bracketing were only a bit less restrictive, a wider phenomenological insight into the nature of sexual love might emerge, with the result, recalling Haughton, that “the whole Christian feeling about the nature of human love [might be] enhanced, made more strange, more sensitive, more problematic”</w:t>
      </w:r>
      <w:r>
        <w:rPr>
          <w:rStyle w:val="FootnoteReference"/>
          <w:rFonts w:ascii="Book Antiqua" w:hAnsi="Book Antiqua"/>
        </w:rPr>
        <w:footnoteReference w:id="49"/>
      </w:r>
      <w:r>
        <w:rPr>
          <w:rFonts w:ascii="Book Antiqua" w:hAnsi="Book Antiqua"/>
        </w:rPr>
        <w:t xml:space="preserve"> once again.</w:t>
      </w:r>
    </w:p>
    <w:p w:rsidR="000C0406" w:rsidRDefault="003209E6" w:rsidP="00A62633">
      <w:pPr>
        <w:tabs>
          <w:tab w:val="left" w:pos="0"/>
        </w:tabs>
        <w:spacing w:after="120"/>
        <w:rPr>
          <w:rFonts w:ascii="Book Antiqua" w:hAnsi="Book Antiqua"/>
        </w:rPr>
      </w:pPr>
      <w:r>
        <w:rPr>
          <w:rFonts w:ascii="Book Antiqua" w:hAnsi="Book Antiqua"/>
        </w:rPr>
        <w:tab/>
        <w:t>Ironically, I think the pope’s reflections have greater power and deeper meaning than even he thought they did.  In comparison, his – and your – interpretation seems highly restrictive, needles</w:t>
      </w:r>
      <w:r w:rsidR="005A7CFF">
        <w:rPr>
          <w:rFonts w:ascii="Book Antiqua" w:hAnsi="Book Antiqua"/>
        </w:rPr>
        <w:t>sly selective, even reductive</w:t>
      </w:r>
      <w:r>
        <w:rPr>
          <w:rFonts w:ascii="Book Antiqua" w:hAnsi="Book Antiqua"/>
        </w:rPr>
        <w:t>.  Did the pope have anything to say to ga</w:t>
      </w:r>
      <w:r w:rsidR="000C0406">
        <w:rPr>
          <w:rFonts w:ascii="Book Antiqua" w:hAnsi="Book Antiqua"/>
        </w:rPr>
        <w:t>y</w:t>
      </w:r>
      <w:r w:rsidR="00F53284">
        <w:rPr>
          <w:rFonts w:ascii="Book Antiqua" w:hAnsi="Book Antiqua"/>
        </w:rPr>
        <w:t xml:space="preserve"> men and women, other than ‘no’?</w:t>
      </w:r>
      <w:r>
        <w:rPr>
          <w:rFonts w:ascii="Book Antiqua" w:hAnsi="Book Antiqua"/>
        </w:rPr>
        <w:t xml:space="preserve">  He didn’t think so; I think he did, does.</w:t>
      </w:r>
      <w:r w:rsidR="000C0406">
        <w:rPr>
          <w:rFonts w:ascii="Book Antiqua" w:hAnsi="Book Antiqua"/>
        </w:rPr>
        <w:t xml:space="preserve">  Attention to the concrete possibilities of real persons – rather than some universal and necessary possibility of ‘the person’ – could still allow perception, understanding, and affirmation of real order in the universe</w:t>
      </w:r>
      <w:r w:rsidR="00A84F3F">
        <w:rPr>
          <w:rFonts w:ascii="Book Antiqua" w:hAnsi="Book Antiqua"/>
        </w:rPr>
        <w:t xml:space="preserve"> of proportionate being</w:t>
      </w:r>
      <w:r w:rsidR="000C0406">
        <w:rPr>
          <w:rFonts w:ascii="Book Antiqua" w:hAnsi="Book Antiqua"/>
        </w:rPr>
        <w:t xml:space="preserve">, but that order would be “a concrete unfolding in concrete </w:t>
      </w:r>
      <w:r w:rsidR="000C0406">
        <w:rPr>
          <w:rFonts w:ascii="Book Antiqua" w:hAnsi="Book Antiqua"/>
        </w:rPr>
        <w:lastRenderedPageBreak/>
        <w:t>circumstances,” with “concrete situations” being understoo</w:t>
      </w:r>
      <w:r w:rsidR="003C0D33">
        <w:rPr>
          <w:rFonts w:ascii="Book Antiqua" w:hAnsi="Book Antiqua"/>
        </w:rPr>
        <w:t xml:space="preserve">d as “the product of individual </w:t>
      </w:r>
      <w:r w:rsidR="000C0406">
        <w:rPr>
          <w:rFonts w:ascii="Book Antiqua" w:hAnsi="Book Antiqua"/>
        </w:rPr>
        <w:t>decisions about the concrete good.”</w:t>
      </w:r>
      <w:r w:rsidR="000C0406">
        <w:rPr>
          <w:rStyle w:val="FootnoteReference"/>
          <w:rFonts w:ascii="Book Antiqua" w:hAnsi="Book Antiqua"/>
        </w:rPr>
        <w:footnoteReference w:id="50"/>
      </w:r>
      <w:r w:rsidR="000C0406">
        <w:rPr>
          <w:rFonts w:ascii="Book Antiqua" w:hAnsi="Book Antiqua"/>
        </w:rPr>
        <w:t xml:space="preserve">  </w:t>
      </w:r>
    </w:p>
    <w:p w:rsidR="003209E6" w:rsidRDefault="000C0406" w:rsidP="00A62633">
      <w:pPr>
        <w:tabs>
          <w:tab w:val="left" w:pos="0"/>
        </w:tabs>
        <w:spacing w:after="120"/>
        <w:rPr>
          <w:rFonts w:ascii="Book Antiqua" w:hAnsi="Book Antiqua"/>
        </w:rPr>
      </w:pPr>
      <w:r>
        <w:rPr>
          <w:rFonts w:ascii="Book Antiqua" w:hAnsi="Book Antiqua"/>
        </w:rPr>
        <w:tab/>
        <w:t xml:space="preserve">Believe it or not, gay men and women make such decisions every moment of every day, like everyone else.  It would be nice if the Church had some guidance to offer.  The tragedy is that Pope John Paul’s reflections contain real possibilities for such spiritual guidance, but these possibilities are lost when the reflections become hardened into a “theology of </w:t>
      </w:r>
      <w:r w:rsidRPr="000C0406">
        <w:rPr>
          <w:rFonts w:ascii="Book Antiqua" w:hAnsi="Book Antiqua"/>
          <w:i/>
        </w:rPr>
        <w:t>the</w:t>
      </w:r>
      <w:r>
        <w:rPr>
          <w:rFonts w:ascii="Book Antiqua" w:hAnsi="Book Antiqua"/>
        </w:rPr>
        <w:t xml:space="preserve"> body,</w:t>
      </w:r>
      <w:r w:rsidR="00840AB6">
        <w:rPr>
          <w:rFonts w:ascii="Book Antiqua" w:hAnsi="Book Antiqua"/>
        </w:rPr>
        <w:t>”</w:t>
      </w:r>
      <w:r>
        <w:rPr>
          <w:rFonts w:ascii="Book Antiqua" w:hAnsi="Book Antiqua"/>
        </w:rPr>
        <w:t xml:space="preserve"> which itself becomes further hardened into a “nuptial theology,”</w:t>
      </w:r>
      <w:r w:rsidR="0015751A">
        <w:rPr>
          <w:rStyle w:val="FootnoteReference"/>
          <w:rFonts w:ascii="Book Antiqua" w:hAnsi="Book Antiqua"/>
        </w:rPr>
        <w:footnoteReference w:id="51"/>
      </w:r>
      <w:r>
        <w:rPr>
          <w:rFonts w:ascii="Book Antiqua" w:hAnsi="Book Antiqua"/>
        </w:rPr>
        <w:t xml:space="preserve"> the range of insight becoming progressively narrowed as the range of data becomes progressively bracketed.  The Church ‘catholic’ would want to narrow and bracket as little as possible.</w:t>
      </w:r>
    </w:p>
    <w:p w:rsidR="00CB0543" w:rsidRDefault="00CB0543" w:rsidP="00A62633">
      <w:pPr>
        <w:tabs>
          <w:tab w:val="left" w:pos="0"/>
        </w:tabs>
        <w:spacing w:after="120"/>
        <w:rPr>
          <w:rFonts w:ascii="Book Antiqua" w:hAnsi="Book Antiqua"/>
        </w:rPr>
      </w:pPr>
      <w:r>
        <w:rPr>
          <w:rFonts w:ascii="Book Antiqua" w:hAnsi="Book Antiqua"/>
        </w:rPr>
        <w:tab/>
        <w:t xml:space="preserve">Alas, narrow and bracketed we have become, often without even a semblance of awareness.  Pope Benedict once famously remarked to a reporter that, other than a few protesters in München, he had never met any homosexuals.  This from a man who, by then, had worked for a couple decades in the Roman Curia, of all places!  OMG, as the kids might text.  LOL, if it weren’t so </w:t>
      </w:r>
      <w:r w:rsidRPr="00CB0543">
        <w:rPr>
          <w:rFonts w:ascii="Book Antiqua" w:hAnsi="Book Antiqua"/>
        </w:rPr>
        <w:sym w:font="Wingdings" w:char="F04C"/>
      </w:r>
      <w:r>
        <w:rPr>
          <w:rFonts w:ascii="Book Antiqua" w:hAnsi="Book Antiqua"/>
        </w:rPr>
        <w:t>.  Methodic phenomenological bracketing seems natural when everyday consciousness is so blind.  Neither bracketing nor blindness provide</w:t>
      </w:r>
      <w:r w:rsidR="00173CCF">
        <w:rPr>
          <w:rFonts w:ascii="Book Antiqua" w:hAnsi="Book Antiqua"/>
        </w:rPr>
        <w:t>s</w:t>
      </w:r>
      <w:r>
        <w:rPr>
          <w:rFonts w:ascii="Book Antiqua" w:hAnsi="Book Antiqua"/>
        </w:rPr>
        <w:t xml:space="preserve"> adequate foundations upon which to build a universal and necessary theology</w:t>
      </w:r>
      <w:r w:rsidR="00F66E0A">
        <w:rPr>
          <w:rFonts w:ascii="Book Antiqua" w:hAnsi="Book Antiqua"/>
        </w:rPr>
        <w:t xml:space="preserve"> – much less a spirituality</w:t>
      </w:r>
      <w:r>
        <w:rPr>
          <w:rFonts w:ascii="Book Antiqua" w:hAnsi="Book Antiqua"/>
        </w:rPr>
        <w:t>.  Not, at least, if it wants to be catholic.</w:t>
      </w:r>
      <w:r w:rsidR="00BF003B">
        <w:rPr>
          <w:rFonts w:ascii="Book Antiqua" w:hAnsi="Book Antiqua"/>
        </w:rPr>
        <w:t xml:space="preserve">  If we are blinded to the very existence of so many, or if we see but bracket them from meaningf</w:t>
      </w:r>
      <w:r w:rsidR="00BE4B29">
        <w:rPr>
          <w:rFonts w:ascii="Book Antiqua" w:hAnsi="Book Antiqua"/>
        </w:rPr>
        <w:t xml:space="preserve">ul consideration, there is </w:t>
      </w:r>
      <w:r w:rsidR="00BF003B">
        <w:rPr>
          <w:rFonts w:ascii="Book Antiqua" w:hAnsi="Book Antiqua"/>
        </w:rPr>
        <w:t xml:space="preserve">left </w:t>
      </w:r>
      <w:r w:rsidR="00BE4B29">
        <w:rPr>
          <w:rFonts w:ascii="Book Antiqua" w:hAnsi="Book Antiqua"/>
        </w:rPr>
        <w:t xml:space="preserve">only </w:t>
      </w:r>
      <w:r w:rsidR="00BF003B">
        <w:rPr>
          <w:rFonts w:ascii="Book Antiqua" w:hAnsi="Book Antiqua"/>
        </w:rPr>
        <w:t>the lament:</w:t>
      </w:r>
    </w:p>
    <w:p w:rsidR="00BF003B" w:rsidRDefault="00BF003B" w:rsidP="00BF003B">
      <w:pPr>
        <w:spacing w:after="120"/>
        <w:ind w:left="720" w:right="720"/>
        <w:contextualSpacing/>
        <w:rPr>
          <w:rFonts w:ascii="Book Antiqua" w:hAnsi="Book Antiqua"/>
          <w:sz w:val="20"/>
          <w:szCs w:val="20"/>
        </w:rPr>
      </w:pPr>
      <w:r>
        <w:rPr>
          <w:rFonts w:ascii="Book Antiqua" w:hAnsi="Book Antiqua"/>
          <w:sz w:val="20"/>
          <w:szCs w:val="20"/>
        </w:rPr>
        <w:t>You’ll never know the hurt I suffered nor the pain I rise above.</w:t>
      </w:r>
    </w:p>
    <w:p w:rsidR="00BF003B" w:rsidRDefault="00BF003B" w:rsidP="00BF003B">
      <w:pPr>
        <w:spacing w:after="120"/>
        <w:ind w:left="720" w:right="720"/>
        <w:contextualSpacing/>
        <w:rPr>
          <w:rFonts w:ascii="Book Antiqua" w:hAnsi="Book Antiqua"/>
          <w:sz w:val="20"/>
          <w:szCs w:val="20"/>
        </w:rPr>
      </w:pPr>
      <w:r>
        <w:rPr>
          <w:rFonts w:ascii="Book Antiqua" w:hAnsi="Book Antiqua"/>
          <w:sz w:val="20"/>
          <w:szCs w:val="20"/>
        </w:rPr>
        <w:t>And I’ll never know the same about you, your holiness or your kind of love.</w:t>
      </w:r>
    </w:p>
    <w:p w:rsidR="00BF003B" w:rsidRPr="00BF003B" w:rsidRDefault="00BF003B" w:rsidP="00BF003B">
      <w:pPr>
        <w:spacing w:after="120"/>
        <w:ind w:left="720" w:right="720"/>
        <w:rPr>
          <w:rFonts w:ascii="Book Antiqua" w:hAnsi="Book Antiqua"/>
          <w:sz w:val="20"/>
          <w:szCs w:val="20"/>
        </w:rPr>
      </w:pPr>
      <w:r>
        <w:rPr>
          <w:rFonts w:ascii="Book Antiqua" w:hAnsi="Book Antiqua"/>
          <w:sz w:val="20"/>
          <w:szCs w:val="20"/>
        </w:rPr>
        <w:t>And it makes me feel so sorry.</w:t>
      </w:r>
      <w:r>
        <w:rPr>
          <w:rStyle w:val="FootnoteReference"/>
          <w:rFonts w:ascii="Book Antiqua" w:hAnsi="Book Antiqua"/>
          <w:sz w:val="20"/>
          <w:szCs w:val="20"/>
        </w:rPr>
        <w:footnoteReference w:id="52"/>
      </w:r>
    </w:p>
    <w:p w:rsidR="00440DC4" w:rsidRDefault="00AF7128" w:rsidP="00AF7128">
      <w:pPr>
        <w:tabs>
          <w:tab w:val="left" w:pos="0"/>
        </w:tabs>
        <w:spacing w:after="120"/>
        <w:rPr>
          <w:rFonts w:ascii="Book Antiqua" w:hAnsi="Book Antiqua"/>
        </w:rPr>
      </w:pPr>
      <w:r w:rsidRPr="00AF7128">
        <w:rPr>
          <w:rFonts w:ascii="Book Antiqua" w:hAnsi="Book Antiqua"/>
        </w:rPr>
        <w:tab/>
      </w:r>
      <w:r>
        <w:rPr>
          <w:rFonts w:ascii="Book Antiqua" w:hAnsi="Book Antiqua"/>
          <w:u w:val="single"/>
        </w:rPr>
        <w:t>In the third instance, thi</w:t>
      </w:r>
      <w:r w:rsidR="00744B8D">
        <w:rPr>
          <w:rFonts w:ascii="Book Antiqua" w:hAnsi="Book Antiqua"/>
          <w:u w:val="single"/>
        </w:rPr>
        <w:t>nking clearly about natural law</w:t>
      </w:r>
      <w:r>
        <w:rPr>
          <w:rFonts w:ascii="Book Antiqua" w:hAnsi="Book Antiqua"/>
          <w:u w:val="single"/>
        </w:rPr>
        <w:t xml:space="preserve"> requires clear thinking about nature, and some ways of thinking about nature aren’t very natural.</w:t>
      </w:r>
      <w:r w:rsidR="009F68A4">
        <w:rPr>
          <w:rFonts w:ascii="Book Antiqua" w:hAnsi="Book Antiqua"/>
        </w:rPr>
        <w:t xml:space="preserve">  It has long been clear to me, in many different contexts, that there are two basically different kinds of disagreements, one in which real conversation is much more possible and fruitful </w:t>
      </w:r>
      <w:r w:rsidR="005505AE">
        <w:rPr>
          <w:rFonts w:ascii="Book Antiqua" w:hAnsi="Book Antiqua"/>
        </w:rPr>
        <w:t>than</w:t>
      </w:r>
      <w:r w:rsidR="009F68A4">
        <w:rPr>
          <w:rFonts w:ascii="Book Antiqua" w:hAnsi="Book Antiqua"/>
        </w:rPr>
        <w:t xml:space="preserve"> the other.  When three people differ on the nature of </w:t>
      </w:r>
      <w:r w:rsidR="009F68A4" w:rsidRPr="009F68A4">
        <w:rPr>
          <w:rFonts w:ascii="Book Antiqua" w:hAnsi="Book Antiqua"/>
          <w:i/>
        </w:rPr>
        <w:t>X</w:t>
      </w:r>
      <w:r w:rsidR="009F68A4">
        <w:rPr>
          <w:rFonts w:ascii="Book Antiqua" w:hAnsi="Book Antiqua"/>
        </w:rPr>
        <w:t xml:space="preserve">, it can be that they quite straightforwardly have different understandings and have made different judgments about </w:t>
      </w:r>
      <w:r w:rsidR="009F68A4" w:rsidRPr="009F68A4">
        <w:rPr>
          <w:rFonts w:ascii="Book Antiqua" w:hAnsi="Book Antiqua"/>
          <w:i/>
        </w:rPr>
        <w:t>X</w:t>
      </w:r>
      <w:r w:rsidR="009F68A4">
        <w:rPr>
          <w:rFonts w:ascii="Book Antiqua" w:hAnsi="Book Antiqua"/>
        </w:rPr>
        <w:t xml:space="preserve"> – let’s call their positions </w:t>
      </w:r>
      <w:r w:rsidR="009F68A4" w:rsidRPr="009F68A4">
        <w:rPr>
          <w:rFonts w:ascii="Book Antiqua" w:hAnsi="Book Antiqua"/>
          <w:i/>
        </w:rPr>
        <w:t>X</w:t>
      </w:r>
      <w:r w:rsidR="009F68A4">
        <w:rPr>
          <w:rFonts w:ascii="Book Antiqua" w:hAnsi="Book Antiqua"/>
          <w:vertAlign w:val="superscript"/>
        </w:rPr>
        <w:t>1</w:t>
      </w:r>
      <w:r w:rsidR="009F68A4">
        <w:rPr>
          <w:rFonts w:ascii="Book Antiqua" w:hAnsi="Book Antiqua"/>
        </w:rPr>
        <w:t xml:space="preserve">, </w:t>
      </w:r>
      <w:r w:rsidR="009F68A4" w:rsidRPr="009F68A4">
        <w:rPr>
          <w:rFonts w:ascii="Book Antiqua" w:hAnsi="Book Antiqua"/>
          <w:i/>
        </w:rPr>
        <w:t>X</w:t>
      </w:r>
      <w:r w:rsidR="009F68A4">
        <w:rPr>
          <w:rFonts w:ascii="Book Antiqua" w:hAnsi="Book Antiqua"/>
          <w:vertAlign w:val="superscript"/>
        </w:rPr>
        <w:t>2</w:t>
      </w:r>
      <w:r w:rsidR="009F68A4">
        <w:rPr>
          <w:rFonts w:ascii="Book Antiqua" w:hAnsi="Book Antiqua"/>
        </w:rPr>
        <w:t xml:space="preserve">, and </w:t>
      </w:r>
      <w:r w:rsidR="009F68A4" w:rsidRPr="009F68A4">
        <w:rPr>
          <w:rFonts w:ascii="Book Antiqua" w:hAnsi="Book Antiqua"/>
          <w:i/>
        </w:rPr>
        <w:t>X</w:t>
      </w:r>
      <w:r w:rsidR="009F68A4">
        <w:rPr>
          <w:rFonts w:ascii="Book Antiqua" w:hAnsi="Book Antiqua"/>
          <w:vertAlign w:val="superscript"/>
        </w:rPr>
        <w:t>3</w:t>
      </w:r>
      <w:r w:rsidR="009F68A4">
        <w:rPr>
          <w:rFonts w:ascii="Book Antiqua" w:hAnsi="Book Antiqua"/>
        </w:rPr>
        <w:t xml:space="preserve">.  They can talk to each other, presenting images, suggesting questions, pointing out overlooked data, raising questions of verifying evidence that might strengthen or weaken a judgment.  They can disagree, but they can talk to each other, perhaps </w:t>
      </w:r>
      <w:r w:rsidR="00DA191A">
        <w:rPr>
          <w:rFonts w:ascii="Book Antiqua" w:hAnsi="Book Antiqua"/>
        </w:rPr>
        <w:t>intensely, and</w:t>
      </w:r>
      <w:r w:rsidR="009F68A4">
        <w:rPr>
          <w:rFonts w:ascii="Book Antiqua" w:hAnsi="Book Antiqua"/>
        </w:rPr>
        <w:t xml:space="preserve"> they can understand each other because there is an underlying agreement about the roots of their disagreement.</w:t>
      </w:r>
    </w:p>
    <w:p w:rsidR="009F68A4" w:rsidRDefault="009F68A4" w:rsidP="00AF7128">
      <w:pPr>
        <w:tabs>
          <w:tab w:val="left" w:pos="0"/>
        </w:tabs>
        <w:spacing w:after="120"/>
        <w:rPr>
          <w:rFonts w:ascii="Book Antiqua" w:hAnsi="Book Antiqua"/>
        </w:rPr>
      </w:pPr>
      <w:r>
        <w:rPr>
          <w:rFonts w:ascii="Book Antiqua" w:hAnsi="Book Antiqua"/>
        </w:rPr>
        <w:lastRenderedPageBreak/>
        <w:tab/>
        <w:t xml:space="preserve">It is a quite different conversation about the nature of </w:t>
      </w:r>
      <w:r w:rsidRPr="009F68A4">
        <w:rPr>
          <w:rFonts w:ascii="Book Antiqua" w:hAnsi="Book Antiqua"/>
          <w:i/>
        </w:rPr>
        <w:t>X</w:t>
      </w:r>
      <w:r>
        <w:rPr>
          <w:rFonts w:ascii="Book Antiqua" w:hAnsi="Book Antiqua"/>
        </w:rPr>
        <w:t>, though, when the real root of the dis</w:t>
      </w:r>
      <w:r w:rsidR="00DB2CA7">
        <w:rPr>
          <w:rFonts w:ascii="Book Antiqua" w:hAnsi="Book Antiqua"/>
        </w:rPr>
        <w:t>agreement</w:t>
      </w:r>
      <w:r>
        <w:rPr>
          <w:rFonts w:ascii="Book Antiqua" w:hAnsi="Book Antiqua"/>
        </w:rPr>
        <w:t xml:space="preserve"> is about the nature of </w:t>
      </w:r>
      <w:r w:rsidRPr="009F68A4">
        <w:rPr>
          <w:rFonts w:ascii="Book Antiqua" w:hAnsi="Book Antiqua"/>
          <w:i/>
        </w:rPr>
        <w:t>nature</w:t>
      </w:r>
      <w:r w:rsidR="000808D2">
        <w:rPr>
          <w:rFonts w:ascii="Book Antiqua" w:hAnsi="Book Antiqua"/>
        </w:rPr>
        <w:t xml:space="preserve"> --</w:t>
      </w:r>
      <w:r w:rsidR="00DB2CA7">
        <w:rPr>
          <w:rFonts w:ascii="Book Antiqua" w:hAnsi="Book Antiqua"/>
        </w:rPr>
        <w:t xml:space="preserve"> when three other people ha</w:t>
      </w:r>
      <w:r w:rsidR="009B256B">
        <w:rPr>
          <w:rFonts w:ascii="Book Antiqua" w:hAnsi="Book Antiqua"/>
        </w:rPr>
        <w:t xml:space="preserve">ve different preunderstandings </w:t>
      </w:r>
      <w:r w:rsidR="00DB2CA7">
        <w:rPr>
          <w:rFonts w:ascii="Book Antiqua" w:hAnsi="Book Antiqua"/>
        </w:rPr>
        <w:t xml:space="preserve">of what it would mean to understand anything.  </w:t>
      </w:r>
      <w:r w:rsidR="00DB2CA7" w:rsidRPr="00DB2CA7">
        <w:rPr>
          <w:rFonts w:ascii="Book Antiqua" w:hAnsi="Book Antiqua"/>
          <w:i/>
        </w:rPr>
        <w:t>X</w:t>
      </w:r>
      <w:r w:rsidR="00DB2CA7">
        <w:rPr>
          <w:rFonts w:ascii="Book Antiqua" w:hAnsi="Book Antiqua"/>
        </w:rPr>
        <w:t>, in such a situation, i</w:t>
      </w:r>
      <w:r w:rsidR="005505AE">
        <w:rPr>
          <w:rFonts w:ascii="Book Antiqua" w:hAnsi="Book Antiqua"/>
        </w:rPr>
        <w:t>s</w:t>
      </w:r>
      <w:r w:rsidR="00DB2CA7">
        <w:rPr>
          <w:rFonts w:ascii="Book Antiqua" w:hAnsi="Book Antiqua"/>
        </w:rPr>
        <w:t xml:space="preserve"> not the real issue, though </w:t>
      </w:r>
      <w:r w:rsidR="00DB2CA7" w:rsidRPr="00DB2CA7">
        <w:rPr>
          <w:rFonts w:ascii="Book Antiqua" w:hAnsi="Book Antiqua"/>
          <w:i/>
        </w:rPr>
        <w:t>X</w:t>
      </w:r>
      <w:r w:rsidR="00DB2CA7">
        <w:rPr>
          <w:rFonts w:ascii="Book Antiqua" w:hAnsi="Book Antiqua"/>
        </w:rPr>
        <w:t xml:space="preserve"> may very well be what our disputants argue about until they are </w:t>
      </w:r>
      <w:r w:rsidR="00917708">
        <w:rPr>
          <w:rFonts w:ascii="Book Antiqua" w:hAnsi="Book Antiqua"/>
        </w:rPr>
        <w:t>(</w:t>
      </w:r>
      <w:r w:rsidR="00F2285D">
        <w:rPr>
          <w:rFonts w:ascii="Book Antiqua" w:hAnsi="Book Antiqua"/>
        </w:rPr>
        <w:t>red, white, and</w:t>
      </w:r>
      <w:r w:rsidR="00917708">
        <w:rPr>
          <w:rFonts w:ascii="Book Antiqua" w:hAnsi="Book Antiqua"/>
        </w:rPr>
        <w:t>)</w:t>
      </w:r>
      <w:r w:rsidR="00F2285D">
        <w:rPr>
          <w:rFonts w:ascii="Book Antiqua" w:hAnsi="Book Antiqua"/>
        </w:rPr>
        <w:t xml:space="preserve"> </w:t>
      </w:r>
      <w:r w:rsidR="00DB2CA7">
        <w:rPr>
          <w:rFonts w:ascii="Book Antiqua" w:hAnsi="Book Antiqua"/>
        </w:rPr>
        <w:t xml:space="preserve">blue in the face.  They probably think of themselves as having a heated conversation much like that between our earlier partisans of </w:t>
      </w:r>
      <w:r w:rsidR="00DB2CA7" w:rsidRPr="009F68A4">
        <w:rPr>
          <w:rFonts w:ascii="Book Antiqua" w:hAnsi="Book Antiqua"/>
          <w:i/>
        </w:rPr>
        <w:t>X</w:t>
      </w:r>
      <w:r w:rsidR="00DB2CA7">
        <w:rPr>
          <w:rFonts w:ascii="Book Antiqua" w:hAnsi="Book Antiqua"/>
          <w:vertAlign w:val="superscript"/>
        </w:rPr>
        <w:t>1</w:t>
      </w:r>
      <w:r w:rsidR="00DB2CA7">
        <w:rPr>
          <w:rFonts w:ascii="Book Antiqua" w:hAnsi="Book Antiqua"/>
        </w:rPr>
        <w:t xml:space="preserve">, </w:t>
      </w:r>
      <w:r w:rsidR="00DB2CA7" w:rsidRPr="009F68A4">
        <w:rPr>
          <w:rFonts w:ascii="Book Antiqua" w:hAnsi="Book Antiqua"/>
          <w:i/>
        </w:rPr>
        <w:t>X</w:t>
      </w:r>
      <w:r w:rsidR="00DB2CA7">
        <w:rPr>
          <w:rFonts w:ascii="Book Antiqua" w:hAnsi="Book Antiqua"/>
          <w:vertAlign w:val="superscript"/>
        </w:rPr>
        <w:t>2</w:t>
      </w:r>
      <w:r w:rsidR="00DB2CA7">
        <w:rPr>
          <w:rFonts w:ascii="Book Antiqua" w:hAnsi="Book Antiqua"/>
        </w:rPr>
        <w:t xml:space="preserve">, and </w:t>
      </w:r>
      <w:r w:rsidR="00DB2CA7" w:rsidRPr="009F68A4">
        <w:rPr>
          <w:rFonts w:ascii="Book Antiqua" w:hAnsi="Book Antiqua"/>
          <w:i/>
        </w:rPr>
        <w:t>X</w:t>
      </w:r>
      <w:r w:rsidR="00DB2CA7">
        <w:rPr>
          <w:rFonts w:ascii="Book Antiqua" w:hAnsi="Book Antiqua"/>
          <w:vertAlign w:val="superscript"/>
        </w:rPr>
        <w:t>3</w:t>
      </w:r>
      <w:r w:rsidR="00DB2CA7">
        <w:rPr>
          <w:rFonts w:ascii="Book Antiqua" w:hAnsi="Book Antiqua"/>
        </w:rPr>
        <w:t xml:space="preserve">.  </w:t>
      </w:r>
      <w:r w:rsidR="0093080B">
        <w:rPr>
          <w:rFonts w:ascii="Book Antiqua" w:hAnsi="Book Antiqua"/>
        </w:rPr>
        <w:t xml:space="preserve">In fact, however, they are arguing about </w:t>
      </w:r>
      <w:r w:rsidR="00044978">
        <w:rPr>
          <w:rFonts w:ascii="Book Antiqua" w:hAnsi="Book Antiqua"/>
        </w:rPr>
        <w:t>Q</w:t>
      </w:r>
      <w:r w:rsidR="0093080B">
        <w:rPr>
          <w:rFonts w:ascii="Book Antiqua" w:hAnsi="Book Antiqua"/>
        </w:rPr>
        <w:t xml:space="preserve">, </w:t>
      </w:r>
      <w:r w:rsidR="00044978">
        <w:rPr>
          <w:rFonts w:ascii="Book Antiqua" w:hAnsi="Book Antiqua"/>
        </w:rPr>
        <w:t>9</w:t>
      </w:r>
      <w:r w:rsidR="0093080B">
        <w:rPr>
          <w:rFonts w:ascii="Book Antiqua" w:hAnsi="Book Antiqua"/>
        </w:rPr>
        <w:t xml:space="preserve">, and </w:t>
      </w:r>
      <w:r w:rsidR="007F4D02">
        <w:rPr>
          <w:rFonts w:ascii="Book Antiqua" w:hAnsi="Book Antiqua"/>
        </w:rPr>
        <w:t>♪</w:t>
      </w:r>
      <w:r w:rsidR="00AE3C14">
        <w:rPr>
          <w:rFonts w:ascii="Book Antiqua" w:hAnsi="Book Antiqua"/>
        </w:rPr>
        <w:t xml:space="preserve">, quite literally not knowing </w:t>
      </w:r>
      <w:r w:rsidR="00AE3C14" w:rsidRPr="00AE3C14">
        <w:rPr>
          <w:rFonts w:ascii="Book Antiqua" w:hAnsi="Book Antiqua"/>
          <w:i/>
        </w:rPr>
        <w:t>what</w:t>
      </w:r>
      <w:r w:rsidR="00AE3C14">
        <w:rPr>
          <w:rFonts w:ascii="Book Antiqua" w:hAnsi="Book Antiqua"/>
        </w:rPr>
        <w:t xml:space="preserve"> they are talking about.</w:t>
      </w:r>
    </w:p>
    <w:p w:rsidR="0093080B" w:rsidRDefault="0093080B" w:rsidP="00AF7128">
      <w:pPr>
        <w:tabs>
          <w:tab w:val="left" w:pos="0"/>
        </w:tabs>
        <w:spacing w:after="120"/>
        <w:rPr>
          <w:rFonts w:ascii="Book Antiqua" w:hAnsi="Book Antiqua"/>
        </w:rPr>
      </w:pPr>
      <w:r>
        <w:rPr>
          <w:rFonts w:ascii="Book Antiqua" w:hAnsi="Book Antiqua"/>
        </w:rPr>
        <w:tab/>
        <w:t xml:space="preserve">Such is the situation of our current non-conversation about the </w:t>
      </w:r>
      <w:r w:rsidRPr="0093080B">
        <w:rPr>
          <w:rFonts w:ascii="Book Antiqua" w:hAnsi="Book Antiqua"/>
          <w:i/>
        </w:rPr>
        <w:t>nature</w:t>
      </w:r>
      <w:r>
        <w:rPr>
          <w:rFonts w:ascii="Book Antiqua" w:hAnsi="Book Antiqua"/>
        </w:rPr>
        <w:t xml:space="preserve"> of marriage.  It may well be ‘marriage’ that we are explicitly talking ab</w:t>
      </w:r>
      <w:r w:rsidR="00736AFD">
        <w:rPr>
          <w:rFonts w:ascii="Book Antiqua" w:hAnsi="Book Antiqua"/>
        </w:rPr>
        <w:t>out, but</w:t>
      </w:r>
      <w:r w:rsidR="00BC3998">
        <w:rPr>
          <w:rFonts w:ascii="Book Antiqua" w:hAnsi="Book Antiqua"/>
        </w:rPr>
        <w:t xml:space="preserve"> it is divergent – perhaps even</w:t>
      </w:r>
      <w:r>
        <w:rPr>
          <w:rFonts w:ascii="Book Antiqua" w:hAnsi="Book Antiqua"/>
        </w:rPr>
        <w:t xml:space="preserve"> dialectically opposed – notions of ‘nature’ that render the talking so fruitless.  I want here to try to push that dialectical rock up this seemingly Sisyphean mountain in four steps.  At the top, it’s all too likely that the damn thing will just roll back to the bottom – again!  But maybe the very act of pushing will find us on the Mount of Purgation, </w:t>
      </w:r>
      <w:r w:rsidR="005505AE">
        <w:rPr>
          <w:rFonts w:ascii="Book Antiqua" w:hAnsi="Book Antiqua"/>
        </w:rPr>
        <w:t xml:space="preserve">instead, </w:t>
      </w:r>
      <w:r>
        <w:rPr>
          <w:rFonts w:ascii="Book Antiqua" w:hAnsi="Book Antiqua"/>
        </w:rPr>
        <w:t>some of the fog clearing.</w:t>
      </w:r>
    </w:p>
    <w:p w:rsidR="000F0F17" w:rsidRDefault="0093080B" w:rsidP="00AF7128">
      <w:pPr>
        <w:tabs>
          <w:tab w:val="left" w:pos="0"/>
        </w:tabs>
        <w:spacing w:after="120"/>
        <w:rPr>
          <w:rFonts w:ascii="Book Antiqua" w:hAnsi="Book Antiqua"/>
        </w:rPr>
      </w:pPr>
      <w:r>
        <w:rPr>
          <w:rFonts w:ascii="Book Antiqua" w:hAnsi="Book Antiqua"/>
        </w:rPr>
        <w:tab/>
        <w:t>When it’s ti</w:t>
      </w:r>
      <w:r w:rsidR="0027082E">
        <w:rPr>
          <w:rFonts w:ascii="Book Antiqua" w:hAnsi="Book Antiqua"/>
        </w:rPr>
        <w:t xml:space="preserve">me, then, to turn to discussion </w:t>
      </w:r>
      <w:r>
        <w:rPr>
          <w:rFonts w:ascii="Book Antiqua" w:hAnsi="Book Antiqua"/>
        </w:rPr>
        <w:t xml:space="preserve">of natural law, where better to begin than with Yogi Berra?  “It’s </w:t>
      </w:r>
      <w:r w:rsidRPr="0093080B">
        <w:rPr>
          <w:rFonts w:ascii="Book Antiqua" w:hAnsi="Book Antiqua"/>
          <w:i/>
        </w:rPr>
        <w:t>déjà vu</w:t>
      </w:r>
      <w:r>
        <w:rPr>
          <w:rFonts w:ascii="Book Antiqua" w:hAnsi="Book Antiqua"/>
        </w:rPr>
        <w:t xml:space="preserve"> all over again!”</w:t>
      </w:r>
      <w:r w:rsidR="000F0F17">
        <w:rPr>
          <w:rFonts w:ascii="Book Antiqua" w:hAnsi="Book Antiqua"/>
        </w:rPr>
        <w:t xml:space="preserve">  How exceedingly eerie, in the midst of today’s hoopla and hubbub, to read the story of the marriage of Mildred Jeter and Richard Loving.</w:t>
      </w:r>
      <w:r w:rsidR="000F0F17">
        <w:rPr>
          <w:rStyle w:val="FootnoteReference"/>
          <w:rFonts w:ascii="Book Antiqua" w:hAnsi="Book Antiqua"/>
        </w:rPr>
        <w:footnoteReference w:id="53"/>
      </w:r>
      <w:r w:rsidR="000F0F17">
        <w:rPr>
          <w:rFonts w:ascii="Book Antiqua" w:hAnsi="Book Antiqua"/>
        </w:rPr>
        <w:t xml:space="preserve">  About as unexceptional a couple as could be imagined, in a pretty unexceptional time (June 1958) and place (Central Point VA).  But things were pretty black &amp; white back then, especially about</w:t>
      </w:r>
      <w:r w:rsidR="002D38A2">
        <w:rPr>
          <w:rFonts w:ascii="Book Antiqua" w:hAnsi="Book Antiqua"/>
        </w:rPr>
        <w:t>, well,</w:t>
      </w:r>
      <w:r w:rsidR="000F0F17">
        <w:rPr>
          <w:rFonts w:ascii="Book Antiqua" w:hAnsi="Book Antiqua"/>
        </w:rPr>
        <w:t xml:space="preserve"> black and white.  The Lovings spent their honeymoon in jail because of her blackness and his whiteness, which, in the eyes of the law, rendered their union both “null and void” and felonious.  Exile to the District of Columbia followed jail until 1967, while the Supremes were singing “Stop in the Name of Love,” the other Supremes, in the same District of the couple’s exile, engaged in an act of raw judicial activism and ordered every jurisdiction in the nation to recognize the legality, the reality of their marriage.  Alabama finally got around to repealing its constitutional ban on interracial marriage in the year 2000, with 40% of the voters (526,000) </w:t>
      </w:r>
      <w:r w:rsidR="00EA7D9B">
        <w:rPr>
          <w:rFonts w:ascii="Book Antiqua" w:hAnsi="Book Antiqua"/>
        </w:rPr>
        <w:t xml:space="preserve">even then </w:t>
      </w:r>
      <w:r w:rsidR="000F0F17">
        <w:rPr>
          <w:rFonts w:ascii="Book Antiqua" w:hAnsi="Book Antiqua"/>
        </w:rPr>
        <w:t>voting for retention, and a tradition of law that had begun with Maryland’s antimiscegenation law in 1664 had come to a close.</w:t>
      </w:r>
    </w:p>
    <w:p w:rsidR="000F0F17" w:rsidRDefault="000F0F17" w:rsidP="00AF7128">
      <w:pPr>
        <w:tabs>
          <w:tab w:val="left" w:pos="0"/>
        </w:tabs>
        <w:spacing w:after="120"/>
        <w:rPr>
          <w:rFonts w:ascii="Book Antiqua" w:hAnsi="Book Antiqua"/>
        </w:rPr>
      </w:pPr>
      <w:r>
        <w:rPr>
          <w:rFonts w:ascii="Book Antiqua" w:hAnsi="Book Antiqua"/>
        </w:rPr>
        <w:tab/>
        <w:t>Are the realities of that/then the same as this/now?  Of course, not.  But not completely different, either.  And there is something about the Catholic firings of my neurons that has rendered me hopelessly prone to perceive similarities-in-difference, to understand reality through insights into those perceptions, and to render judgments of truth and falsity, good and evil</w:t>
      </w:r>
      <w:r w:rsidR="0027082E">
        <w:rPr>
          <w:rFonts w:ascii="Book Antiqua" w:hAnsi="Book Antiqua"/>
        </w:rPr>
        <w:t>,</w:t>
      </w:r>
      <w:r>
        <w:rPr>
          <w:rFonts w:ascii="Book Antiqua" w:hAnsi="Book Antiqua"/>
        </w:rPr>
        <w:t xml:space="preserve"> </w:t>
      </w:r>
      <w:r w:rsidR="00255F7A">
        <w:rPr>
          <w:rFonts w:ascii="Book Antiqua" w:hAnsi="Book Antiqua"/>
        </w:rPr>
        <w:t>grounded in</w:t>
      </w:r>
      <w:r>
        <w:rPr>
          <w:rFonts w:ascii="Book Antiqua" w:hAnsi="Book Antiqua"/>
        </w:rPr>
        <w:t xml:space="preserve"> reflectio</w:t>
      </w:r>
      <w:r w:rsidR="00265459">
        <w:rPr>
          <w:rFonts w:ascii="Book Antiqua" w:hAnsi="Book Antiqua"/>
        </w:rPr>
        <w:t>n on the facts of similarity amidst</w:t>
      </w:r>
      <w:r>
        <w:rPr>
          <w:rFonts w:ascii="Book Antiqua" w:hAnsi="Book Antiqua"/>
        </w:rPr>
        <w:t xml:space="preserve"> difference.</w:t>
      </w:r>
    </w:p>
    <w:p w:rsidR="00255F7A" w:rsidRDefault="00255F7A" w:rsidP="00AF7128">
      <w:pPr>
        <w:tabs>
          <w:tab w:val="left" w:pos="0"/>
        </w:tabs>
        <w:spacing w:after="120"/>
        <w:rPr>
          <w:rFonts w:ascii="Book Antiqua" w:hAnsi="Book Antiqua"/>
        </w:rPr>
      </w:pPr>
      <w:r>
        <w:rPr>
          <w:rFonts w:ascii="Book Antiqua" w:hAnsi="Book Antiqua"/>
        </w:rPr>
        <w:tab/>
        <w:t>In Phyl Newbeck’s telling of the Lovings</w:t>
      </w:r>
      <w:r w:rsidR="005A7CFF">
        <w:rPr>
          <w:rFonts w:ascii="Book Antiqua" w:hAnsi="Book Antiqua"/>
        </w:rPr>
        <w:t>’</w:t>
      </w:r>
      <w:r w:rsidR="009D1AEC">
        <w:rPr>
          <w:rFonts w:ascii="Book Antiqua" w:hAnsi="Book Antiqua"/>
        </w:rPr>
        <w:t xml:space="preserve"> </w:t>
      </w:r>
      <w:r>
        <w:rPr>
          <w:rFonts w:ascii="Book Antiqua" w:hAnsi="Book Antiqua"/>
        </w:rPr>
        <w:t>story, she also tells the not-so-loving story of law, culture and religion which feared this simple couple, and found in them the very embodiment of virtually everything that could be considered wrong in American society.  Sound familiar?  Here’s a bit of a lowlight reel:</w:t>
      </w:r>
    </w:p>
    <w:p w:rsidR="00CA5A4F" w:rsidRDefault="00CA5A4F" w:rsidP="00255F7A">
      <w:pPr>
        <w:pStyle w:val="ListParagraph"/>
        <w:numPr>
          <w:ilvl w:val="0"/>
          <w:numId w:val="8"/>
        </w:numPr>
        <w:tabs>
          <w:tab w:val="left" w:pos="0"/>
        </w:tabs>
        <w:spacing w:after="120"/>
        <w:rPr>
          <w:rFonts w:ascii="Book Antiqua" w:hAnsi="Book Antiqua"/>
          <w:sz w:val="20"/>
          <w:szCs w:val="20"/>
        </w:rPr>
      </w:pPr>
      <w:r>
        <w:rPr>
          <w:rFonts w:ascii="Book Antiqua" w:hAnsi="Book Antiqua"/>
          <w:sz w:val="20"/>
          <w:szCs w:val="20"/>
        </w:rPr>
        <w:lastRenderedPageBreak/>
        <w:t xml:space="preserve">In 1838, a Mississippi court invalidated the will of a white man, who had left his estate to the children born of his union with a black woman, because “the </w:t>
      </w:r>
      <w:r w:rsidR="00B66E8D">
        <w:rPr>
          <w:rFonts w:ascii="Book Antiqua" w:hAnsi="Book Antiqua"/>
          <w:sz w:val="20"/>
          <w:szCs w:val="20"/>
        </w:rPr>
        <w:t xml:space="preserve">statement of the </w:t>
      </w:r>
      <w:r>
        <w:rPr>
          <w:rFonts w:ascii="Book Antiqua" w:hAnsi="Book Antiqua"/>
          <w:sz w:val="20"/>
          <w:szCs w:val="20"/>
        </w:rPr>
        <w:t>case shows conclusively that the contract had its origin in an offence against morality, pernicious, and detestable.”</w:t>
      </w:r>
      <w:r>
        <w:rPr>
          <w:rStyle w:val="FootnoteReference"/>
          <w:rFonts w:ascii="Book Antiqua" w:hAnsi="Book Antiqua"/>
          <w:sz w:val="20"/>
          <w:szCs w:val="20"/>
        </w:rPr>
        <w:footnoteReference w:id="54"/>
      </w:r>
    </w:p>
    <w:p w:rsidR="00255F7A" w:rsidRDefault="00255F7A" w:rsidP="00255F7A">
      <w:pPr>
        <w:pStyle w:val="ListParagraph"/>
        <w:numPr>
          <w:ilvl w:val="0"/>
          <w:numId w:val="8"/>
        </w:numPr>
        <w:tabs>
          <w:tab w:val="left" w:pos="0"/>
        </w:tabs>
        <w:spacing w:after="120"/>
        <w:rPr>
          <w:rFonts w:ascii="Book Antiqua" w:hAnsi="Book Antiqua"/>
          <w:sz w:val="20"/>
          <w:szCs w:val="20"/>
        </w:rPr>
      </w:pPr>
      <w:r w:rsidRPr="00255F7A">
        <w:rPr>
          <w:rFonts w:ascii="Book Antiqua" w:hAnsi="Book Antiqua"/>
          <w:sz w:val="20"/>
          <w:szCs w:val="20"/>
        </w:rPr>
        <w:t xml:space="preserve">An Indiana state senator proposing an intermarriage ban in </w:t>
      </w:r>
      <w:r>
        <w:rPr>
          <w:rFonts w:ascii="Book Antiqua" w:hAnsi="Book Antiqua"/>
          <w:sz w:val="20"/>
          <w:szCs w:val="20"/>
        </w:rPr>
        <w:t>1840</w:t>
      </w:r>
      <w:r w:rsidRPr="00255F7A">
        <w:rPr>
          <w:rFonts w:ascii="Book Antiqua" w:hAnsi="Book Antiqua"/>
          <w:sz w:val="20"/>
          <w:szCs w:val="20"/>
        </w:rPr>
        <w:t>:  “There is no subject which, in the present state of the times, calls more loudly for legislative interposition than the one before them.  It is an infraction of the laws of the Almighty, for one moment to allow the pernicious doctrine of such amalgamation to have</w:t>
      </w:r>
      <w:r>
        <w:rPr>
          <w:rFonts w:ascii="Book Antiqua" w:hAnsi="Book Antiqua"/>
          <w:sz w:val="20"/>
          <w:szCs w:val="20"/>
        </w:rPr>
        <w:t xml:space="preserve"> an abiding place in our government, or upon our State books, being marked, as they are, by the eternal and unchangeable laws of God, the one </w:t>
      </w:r>
      <w:r w:rsidRPr="00EE1660">
        <w:rPr>
          <w:rFonts w:ascii="Book Antiqua" w:hAnsi="Book Antiqua"/>
          <w:i/>
          <w:sz w:val="20"/>
          <w:szCs w:val="20"/>
        </w:rPr>
        <w:t xml:space="preserve">white </w:t>
      </w:r>
      <w:r>
        <w:rPr>
          <w:rFonts w:ascii="Book Antiqua" w:hAnsi="Book Antiqua"/>
          <w:sz w:val="20"/>
          <w:szCs w:val="20"/>
        </w:rPr>
        <w:t xml:space="preserve">and the other </w:t>
      </w:r>
      <w:r w:rsidRPr="00EE1660">
        <w:rPr>
          <w:rFonts w:ascii="Book Antiqua" w:hAnsi="Book Antiqua"/>
          <w:i/>
          <w:sz w:val="20"/>
          <w:szCs w:val="20"/>
        </w:rPr>
        <w:t>black</w:t>
      </w:r>
      <w:r w:rsidR="00EE1660">
        <w:rPr>
          <w:rFonts w:ascii="Book Antiqua" w:hAnsi="Book Antiqua"/>
          <w:sz w:val="20"/>
          <w:szCs w:val="20"/>
        </w:rPr>
        <w:t>.</w:t>
      </w:r>
      <w:r>
        <w:rPr>
          <w:rFonts w:ascii="Book Antiqua" w:hAnsi="Book Antiqua"/>
          <w:sz w:val="20"/>
          <w:szCs w:val="20"/>
        </w:rPr>
        <w:t xml:space="preserve">  Your committee believe that any man or set of men, who would encourage, counsel, aid, or abet in such unholy marriages as said bill prohibits, deserve the just animad-version of every Christian philanthropist and patriot.”</w:t>
      </w:r>
      <w:r>
        <w:rPr>
          <w:rStyle w:val="FootnoteReference"/>
          <w:rFonts w:ascii="Book Antiqua" w:hAnsi="Book Antiqua"/>
          <w:sz w:val="20"/>
          <w:szCs w:val="20"/>
        </w:rPr>
        <w:footnoteReference w:id="55"/>
      </w:r>
    </w:p>
    <w:p w:rsidR="00255F7A" w:rsidRPr="00255F7A" w:rsidRDefault="00255F7A" w:rsidP="00255F7A">
      <w:pPr>
        <w:pStyle w:val="ListParagraph"/>
        <w:numPr>
          <w:ilvl w:val="0"/>
          <w:numId w:val="8"/>
        </w:numPr>
        <w:tabs>
          <w:tab w:val="left" w:pos="0"/>
        </w:tabs>
        <w:spacing w:after="120"/>
        <w:rPr>
          <w:rFonts w:ascii="Book Antiqua" w:hAnsi="Book Antiqua"/>
          <w:sz w:val="20"/>
          <w:szCs w:val="20"/>
        </w:rPr>
      </w:pPr>
      <w:r>
        <w:rPr>
          <w:rFonts w:ascii="Book Antiqua" w:hAnsi="Book Antiqua"/>
          <w:sz w:val="20"/>
          <w:szCs w:val="20"/>
        </w:rPr>
        <w:t>Same year, in the Iowa territorial legislature, “the house debate featured some interesting anthropological interpretations, including that of a representative who said that the Negro race did not descend from Adam.”</w:t>
      </w:r>
      <w:r>
        <w:rPr>
          <w:rStyle w:val="FootnoteReference"/>
          <w:rFonts w:ascii="Book Antiqua" w:hAnsi="Book Antiqua"/>
          <w:sz w:val="20"/>
          <w:szCs w:val="20"/>
        </w:rPr>
        <w:footnoteReference w:id="56"/>
      </w:r>
    </w:p>
    <w:p w:rsidR="00FD502F" w:rsidRPr="00CD731A" w:rsidRDefault="00FD502F" w:rsidP="00CD731A">
      <w:pPr>
        <w:pStyle w:val="ListParagraph"/>
        <w:numPr>
          <w:ilvl w:val="0"/>
          <w:numId w:val="8"/>
        </w:numPr>
        <w:tabs>
          <w:tab w:val="left" w:pos="0"/>
        </w:tabs>
        <w:spacing w:after="120"/>
        <w:rPr>
          <w:rFonts w:ascii="Book Antiqua" w:hAnsi="Book Antiqua"/>
          <w:sz w:val="20"/>
          <w:szCs w:val="20"/>
        </w:rPr>
      </w:pPr>
      <w:r>
        <w:rPr>
          <w:rFonts w:ascii="Book Antiqua" w:hAnsi="Book Antiqua"/>
          <w:sz w:val="20"/>
          <w:szCs w:val="20"/>
        </w:rPr>
        <w:t xml:space="preserve">In </w:t>
      </w:r>
      <w:r w:rsidRPr="00FD502F">
        <w:rPr>
          <w:rFonts w:ascii="Book Antiqua" w:hAnsi="Book Antiqua"/>
          <w:i/>
          <w:sz w:val="20"/>
          <w:szCs w:val="20"/>
        </w:rPr>
        <w:t>Scott v. Sandford</w:t>
      </w:r>
      <w:r w:rsidR="00055991">
        <w:rPr>
          <w:rFonts w:ascii="Book Antiqua" w:hAnsi="Book Antiqua"/>
          <w:sz w:val="20"/>
          <w:szCs w:val="20"/>
        </w:rPr>
        <w:t xml:space="preserve"> (1857)</w:t>
      </w:r>
      <w:r w:rsidRPr="00FD502F">
        <w:rPr>
          <w:rFonts w:ascii="Book Antiqua" w:hAnsi="Book Antiqua"/>
          <w:sz w:val="20"/>
          <w:szCs w:val="20"/>
        </w:rPr>
        <w:t xml:space="preserve">, the infamous Dred Scott decision, Chief Justice Taney offered as foundational to his opinion </w:t>
      </w:r>
      <w:r w:rsidR="00C30DB9">
        <w:rPr>
          <w:rFonts w:ascii="Book Antiqua" w:hAnsi="Book Antiqua"/>
          <w:sz w:val="20"/>
          <w:szCs w:val="20"/>
        </w:rPr>
        <w:t xml:space="preserve">the fact </w:t>
      </w:r>
      <w:r w:rsidRPr="00CD731A">
        <w:rPr>
          <w:rFonts w:ascii="Book Antiqua" w:hAnsi="Book Antiqua"/>
          <w:sz w:val="20"/>
          <w:szCs w:val="20"/>
        </w:rPr>
        <w:t>that laws against intermarriage “show that a perpetual and impassable barrier was intended to be erected between the white race and the one which they had reduced to slavery, and governed as subjects with absolute and despotic power, and which they then looked upon as so far below them in the scale of created beings, that intermarriages</w:t>
      </w:r>
      <w:r w:rsidR="00664758">
        <w:rPr>
          <w:rFonts w:ascii="Book Antiqua" w:hAnsi="Book Antiqua"/>
          <w:sz w:val="20"/>
          <w:szCs w:val="20"/>
        </w:rPr>
        <w:t xml:space="preserve"> </w:t>
      </w:r>
      <w:r w:rsidRPr="00CD731A">
        <w:rPr>
          <w:rFonts w:ascii="Book Antiqua" w:hAnsi="Book Antiqua"/>
          <w:sz w:val="20"/>
          <w:szCs w:val="20"/>
        </w:rPr>
        <w:t>between white persons and negroes or mulattoes were regarded as unnatural and immoral, and punished as crimes, not only in the parties, but in the persons who joined them in marriage.”</w:t>
      </w:r>
      <w:r>
        <w:rPr>
          <w:rStyle w:val="FootnoteReference"/>
          <w:rFonts w:ascii="Book Antiqua" w:hAnsi="Book Antiqua"/>
          <w:sz w:val="20"/>
          <w:szCs w:val="20"/>
        </w:rPr>
        <w:footnoteReference w:id="57"/>
      </w:r>
    </w:p>
    <w:p w:rsidR="000F0F17" w:rsidRDefault="00255F7A" w:rsidP="00255F7A">
      <w:pPr>
        <w:pStyle w:val="ListParagraph"/>
        <w:numPr>
          <w:ilvl w:val="0"/>
          <w:numId w:val="8"/>
        </w:numPr>
        <w:tabs>
          <w:tab w:val="left" w:pos="0"/>
        </w:tabs>
        <w:spacing w:after="120"/>
        <w:rPr>
          <w:rFonts w:ascii="Book Antiqua" w:hAnsi="Book Antiqua"/>
          <w:sz w:val="20"/>
          <w:szCs w:val="20"/>
        </w:rPr>
      </w:pPr>
      <w:r>
        <w:rPr>
          <w:rFonts w:ascii="Book Antiqua" w:hAnsi="Book Antiqua"/>
          <w:sz w:val="20"/>
          <w:szCs w:val="20"/>
        </w:rPr>
        <w:t>A Pennsylvania court decision in 1867:  “When, therefore, we declare a right to maintain separate relations, as far as is reasonably practicable, but in a spirit of kindness and charity, and with due regard to equality of rights, it is not prejudice, nor caste, nor injustice of any kinds, but simply to suffer men to follow the law of races established by the Creator himself and not to compel them to intermix contrary to their instincts.”</w:t>
      </w:r>
      <w:r>
        <w:rPr>
          <w:rStyle w:val="FootnoteReference"/>
          <w:rFonts w:ascii="Book Antiqua" w:hAnsi="Book Antiqua"/>
          <w:sz w:val="20"/>
          <w:szCs w:val="20"/>
        </w:rPr>
        <w:footnoteReference w:id="58"/>
      </w:r>
    </w:p>
    <w:p w:rsidR="00255F7A" w:rsidRDefault="00255F7A" w:rsidP="00255F7A">
      <w:pPr>
        <w:pStyle w:val="ListParagraph"/>
        <w:numPr>
          <w:ilvl w:val="0"/>
          <w:numId w:val="8"/>
        </w:numPr>
        <w:tabs>
          <w:tab w:val="left" w:pos="0"/>
        </w:tabs>
        <w:spacing w:after="120"/>
        <w:rPr>
          <w:rFonts w:ascii="Book Antiqua" w:hAnsi="Book Antiqua"/>
          <w:sz w:val="20"/>
          <w:szCs w:val="20"/>
        </w:rPr>
      </w:pPr>
      <w:r>
        <w:rPr>
          <w:rFonts w:ascii="Book Antiqua" w:hAnsi="Book Antiqua"/>
          <w:sz w:val="20"/>
          <w:szCs w:val="20"/>
        </w:rPr>
        <w:t>In the Alabama Court of Appeals in 1931, a judge referred to</w:t>
      </w:r>
      <w:r w:rsidR="00EE1660">
        <w:rPr>
          <w:rFonts w:ascii="Book Antiqua" w:hAnsi="Book Antiqua"/>
          <w:sz w:val="20"/>
          <w:szCs w:val="20"/>
        </w:rPr>
        <w:t xml:space="preserve"> interracial unions as</w:t>
      </w:r>
      <w:r>
        <w:rPr>
          <w:rFonts w:ascii="Book Antiqua" w:hAnsi="Book Antiqua"/>
          <w:sz w:val="20"/>
          <w:szCs w:val="20"/>
        </w:rPr>
        <w:t xml:space="preserve"> “moral filth,” “a picture that is nauseating to all that is finer in our natures,</w:t>
      </w:r>
      <w:r w:rsidR="00265459">
        <w:rPr>
          <w:rFonts w:ascii="Book Antiqua" w:hAnsi="Book Antiqua"/>
          <w:sz w:val="20"/>
          <w:szCs w:val="20"/>
        </w:rPr>
        <w:t>”</w:t>
      </w:r>
      <w:r>
        <w:rPr>
          <w:rFonts w:ascii="Book Antiqua" w:hAnsi="Book Antiqua"/>
          <w:sz w:val="20"/>
          <w:szCs w:val="20"/>
        </w:rPr>
        <w:t xml:space="preserve"> “sordid,” and “too vile and disgusting to be repeated any place.”</w:t>
      </w:r>
      <w:r>
        <w:rPr>
          <w:rStyle w:val="FootnoteReference"/>
          <w:rFonts w:ascii="Book Antiqua" w:hAnsi="Book Antiqua"/>
          <w:sz w:val="20"/>
          <w:szCs w:val="20"/>
        </w:rPr>
        <w:footnoteReference w:id="59"/>
      </w:r>
    </w:p>
    <w:p w:rsidR="00CA5A4F" w:rsidRDefault="00CA5A4F" w:rsidP="00255F7A">
      <w:pPr>
        <w:pStyle w:val="ListParagraph"/>
        <w:numPr>
          <w:ilvl w:val="0"/>
          <w:numId w:val="8"/>
        </w:numPr>
        <w:tabs>
          <w:tab w:val="left" w:pos="0"/>
        </w:tabs>
        <w:spacing w:after="120"/>
        <w:rPr>
          <w:rFonts w:ascii="Book Antiqua" w:hAnsi="Book Antiqua"/>
          <w:sz w:val="20"/>
          <w:szCs w:val="20"/>
        </w:rPr>
      </w:pPr>
      <w:r>
        <w:rPr>
          <w:rFonts w:ascii="Book Antiqua" w:hAnsi="Book Antiqua"/>
          <w:sz w:val="20"/>
          <w:szCs w:val="20"/>
        </w:rPr>
        <w:t>In 1954, the United States Supreme Court denied a challenge to Alabama’s constitutional ban on intermarriage, because of the state’s right to uphold “the laws of God and the laws of propriety, morality and social order.”</w:t>
      </w:r>
      <w:r>
        <w:rPr>
          <w:rStyle w:val="FootnoteReference"/>
          <w:rFonts w:ascii="Book Antiqua" w:hAnsi="Book Antiqua"/>
          <w:sz w:val="20"/>
          <w:szCs w:val="20"/>
        </w:rPr>
        <w:footnoteReference w:id="60"/>
      </w:r>
    </w:p>
    <w:p w:rsidR="00CA5A4F" w:rsidRPr="00B66E8D" w:rsidRDefault="00CA5A4F" w:rsidP="00B66E8D">
      <w:pPr>
        <w:pStyle w:val="ListParagraph"/>
        <w:numPr>
          <w:ilvl w:val="0"/>
          <w:numId w:val="8"/>
        </w:numPr>
        <w:tabs>
          <w:tab w:val="left" w:pos="0"/>
        </w:tabs>
        <w:spacing w:after="120"/>
        <w:rPr>
          <w:rFonts w:ascii="Book Antiqua" w:hAnsi="Book Antiqua"/>
          <w:sz w:val="20"/>
          <w:szCs w:val="20"/>
        </w:rPr>
      </w:pPr>
      <w:r>
        <w:rPr>
          <w:rFonts w:ascii="Book Antiqua" w:hAnsi="Book Antiqua"/>
          <w:sz w:val="20"/>
          <w:szCs w:val="20"/>
        </w:rPr>
        <w:t>The Supreme Court of the S</w:t>
      </w:r>
      <w:r w:rsidR="00B66E8D">
        <w:rPr>
          <w:rFonts w:ascii="Book Antiqua" w:hAnsi="Book Antiqua"/>
          <w:sz w:val="20"/>
          <w:szCs w:val="20"/>
        </w:rPr>
        <w:t>t</w:t>
      </w:r>
      <w:r>
        <w:rPr>
          <w:rFonts w:ascii="Book Antiqua" w:hAnsi="Book Antiqua"/>
          <w:sz w:val="20"/>
          <w:szCs w:val="20"/>
        </w:rPr>
        <w:t>ate of Virginia, in 1955, insisted that “the natural law which forbids their intermarriage and the social amalgamation which leads to a corruption of races is as clearly divine as that which imported to them different natures.”</w:t>
      </w:r>
      <w:r w:rsidR="00B66E8D">
        <w:rPr>
          <w:rFonts w:ascii="Book Antiqua" w:hAnsi="Book Antiqua"/>
          <w:sz w:val="20"/>
          <w:szCs w:val="20"/>
        </w:rPr>
        <w:t xml:space="preserve">  The same decision offered the </w:t>
      </w:r>
      <w:r w:rsidR="00B66E8D" w:rsidRPr="00B66E8D">
        <w:rPr>
          <w:rFonts w:ascii="Book Antiqua" w:hAnsi="Book Antiqua"/>
          <w:sz w:val="20"/>
          <w:szCs w:val="20"/>
        </w:rPr>
        <w:lastRenderedPageBreak/>
        <w:t xml:space="preserve">judgment that “connections and alliances </w:t>
      </w:r>
      <w:r w:rsidR="00EE1660">
        <w:rPr>
          <w:rFonts w:ascii="Book Antiqua" w:hAnsi="Book Antiqua"/>
          <w:sz w:val="20"/>
          <w:szCs w:val="20"/>
        </w:rPr>
        <w:t>s</w:t>
      </w:r>
      <w:r w:rsidR="00B66E8D" w:rsidRPr="00B66E8D">
        <w:rPr>
          <w:rFonts w:ascii="Book Antiqua" w:hAnsi="Book Antiqua"/>
          <w:sz w:val="20"/>
          <w:szCs w:val="20"/>
        </w:rPr>
        <w:t>o unnatural that God and nature seem to forbid them, should be prohibited by positive law…”</w:t>
      </w:r>
      <w:r w:rsidR="00B66E8D">
        <w:rPr>
          <w:rStyle w:val="FootnoteReference"/>
          <w:rFonts w:ascii="Book Antiqua" w:hAnsi="Book Antiqua"/>
          <w:sz w:val="20"/>
          <w:szCs w:val="20"/>
        </w:rPr>
        <w:footnoteReference w:id="61"/>
      </w:r>
    </w:p>
    <w:p w:rsidR="00255F7A" w:rsidRDefault="00B66E8D" w:rsidP="00B66E8D">
      <w:pPr>
        <w:pStyle w:val="ListParagraph"/>
        <w:numPr>
          <w:ilvl w:val="0"/>
          <w:numId w:val="9"/>
        </w:numPr>
        <w:tabs>
          <w:tab w:val="left" w:pos="0"/>
        </w:tabs>
        <w:spacing w:after="120"/>
        <w:rPr>
          <w:rFonts w:ascii="Book Antiqua" w:hAnsi="Book Antiqua"/>
          <w:sz w:val="20"/>
          <w:szCs w:val="20"/>
        </w:rPr>
      </w:pPr>
      <w:r>
        <w:rPr>
          <w:rFonts w:ascii="Book Antiqua" w:hAnsi="Book Antiqua"/>
          <w:sz w:val="20"/>
          <w:szCs w:val="20"/>
        </w:rPr>
        <w:t>Judge Leon Bazile, sentencing the Lovings in 1958:  “Almighty God created the races white, black, yellow, malay, and red, and he placed them on separate continents.  And but for the interference with his arrangement there would be no cause for such marriages.  The fact that he separated the races shows that he did not intend for the races to mix.”</w:t>
      </w:r>
      <w:r>
        <w:rPr>
          <w:rStyle w:val="FootnoteReference"/>
          <w:rFonts w:ascii="Book Antiqua" w:hAnsi="Book Antiqua"/>
          <w:sz w:val="20"/>
          <w:szCs w:val="20"/>
        </w:rPr>
        <w:footnoteReference w:id="62"/>
      </w:r>
    </w:p>
    <w:p w:rsidR="00B66E8D" w:rsidRDefault="00B66E8D" w:rsidP="00B66E8D">
      <w:pPr>
        <w:pStyle w:val="ListParagraph"/>
        <w:numPr>
          <w:ilvl w:val="0"/>
          <w:numId w:val="9"/>
        </w:numPr>
        <w:tabs>
          <w:tab w:val="left" w:pos="0"/>
        </w:tabs>
        <w:spacing w:after="120"/>
        <w:rPr>
          <w:rFonts w:ascii="Book Antiqua" w:hAnsi="Book Antiqua"/>
          <w:sz w:val="20"/>
          <w:szCs w:val="20"/>
        </w:rPr>
      </w:pPr>
      <w:r>
        <w:rPr>
          <w:rFonts w:ascii="Book Antiqua" w:hAnsi="Book Antiqua"/>
          <w:sz w:val="20"/>
          <w:szCs w:val="20"/>
        </w:rPr>
        <w:t>A Mississippi textbook from the 1950s:  “God wanted the white people to live alone.  And He wanted colored people to live alone. . .  We do not believe that God wants us to live together. . .   God has made us different.  And God knows best.  Did you know that our country will grow weak if we mix?”</w:t>
      </w:r>
      <w:r>
        <w:rPr>
          <w:rStyle w:val="FootnoteReference"/>
          <w:rFonts w:ascii="Book Antiqua" w:hAnsi="Book Antiqua"/>
          <w:sz w:val="20"/>
          <w:szCs w:val="20"/>
        </w:rPr>
        <w:footnoteReference w:id="63"/>
      </w:r>
    </w:p>
    <w:p w:rsidR="00B66E8D" w:rsidRDefault="00B66E8D" w:rsidP="00B66E8D">
      <w:pPr>
        <w:pStyle w:val="ListParagraph"/>
        <w:numPr>
          <w:ilvl w:val="0"/>
          <w:numId w:val="9"/>
        </w:numPr>
        <w:tabs>
          <w:tab w:val="left" w:pos="0"/>
        </w:tabs>
        <w:spacing w:after="120"/>
        <w:rPr>
          <w:rFonts w:ascii="Book Antiqua" w:hAnsi="Book Antiqua"/>
          <w:sz w:val="20"/>
          <w:szCs w:val="20"/>
        </w:rPr>
      </w:pPr>
      <w:r>
        <w:rPr>
          <w:rFonts w:ascii="Book Antiqua" w:hAnsi="Book Antiqua"/>
          <w:sz w:val="20"/>
          <w:szCs w:val="20"/>
        </w:rPr>
        <w:t>The sheriff who had arrested the Lovings, retrospectively in 1992:  “I don’t think a white person s</w:t>
      </w:r>
      <w:r w:rsidR="001322DD">
        <w:rPr>
          <w:rFonts w:ascii="Book Antiqua" w:hAnsi="Book Antiqua"/>
          <w:sz w:val="20"/>
          <w:szCs w:val="20"/>
        </w:rPr>
        <w:t xml:space="preserve">hould marry a black person. . . </w:t>
      </w:r>
      <w:r>
        <w:rPr>
          <w:rFonts w:ascii="Book Antiqua" w:hAnsi="Book Antiqua"/>
          <w:sz w:val="20"/>
          <w:szCs w:val="20"/>
        </w:rPr>
        <w:t>The Lord made sparrows and rob</w:t>
      </w:r>
      <w:r w:rsidR="001322DD">
        <w:rPr>
          <w:rFonts w:ascii="Book Antiqua" w:hAnsi="Book Antiqua"/>
          <w:sz w:val="20"/>
          <w:szCs w:val="20"/>
        </w:rPr>
        <w:t>ins, not to mix</w:t>
      </w:r>
      <w:r w:rsidR="007C6FAD">
        <w:rPr>
          <w:rFonts w:ascii="Book Antiqua" w:hAnsi="Book Antiqua"/>
          <w:sz w:val="20"/>
          <w:szCs w:val="20"/>
        </w:rPr>
        <w:t xml:space="preserve"> with one another</w:t>
      </w:r>
      <w:r>
        <w:rPr>
          <w:rFonts w:ascii="Book Antiqua" w:hAnsi="Book Antiqua"/>
          <w:sz w:val="20"/>
          <w:szCs w:val="20"/>
        </w:rPr>
        <w:t>.”</w:t>
      </w:r>
      <w:r w:rsidR="009D1AEC">
        <w:rPr>
          <w:rStyle w:val="FootnoteReference"/>
          <w:rFonts w:ascii="Book Antiqua" w:hAnsi="Book Antiqua"/>
          <w:sz w:val="20"/>
          <w:szCs w:val="20"/>
        </w:rPr>
        <w:footnoteReference w:id="64"/>
      </w:r>
    </w:p>
    <w:p w:rsidR="002B6AF1" w:rsidRPr="002B6AF1" w:rsidRDefault="00B66E8D" w:rsidP="002B6AF1">
      <w:pPr>
        <w:pStyle w:val="ListParagraph"/>
        <w:numPr>
          <w:ilvl w:val="0"/>
          <w:numId w:val="9"/>
        </w:numPr>
        <w:tabs>
          <w:tab w:val="left" w:pos="0"/>
        </w:tabs>
        <w:spacing w:after="120"/>
        <w:rPr>
          <w:rFonts w:ascii="Book Antiqua" w:hAnsi="Book Antiqua"/>
          <w:sz w:val="20"/>
          <w:szCs w:val="20"/>
        </w:rPr>
      </w:pPr>
      <w:r>
        <w:rPr>
          <w:rFonts w:ascii="Book Antiqua" w:hAnsi="Book Antiqua"/>
          <w:sz w:val="20"/>
          <w:szCs w:val="20"/>
        </w:rPr>
        <w:t>In the South Carolina House of Representatives in 1998, a member announced his intention to vote against repeal of the state’s constitutional ban on intermarriage, because such marriage is contrary to “the way God meant it.  He does create races of people and He did that for a reason.  From the beginning he set the races apart.”</w:t>
      </w:r>
      <w:r w:rsidR="009D1AEC">
        <w:rPr>
          <w:rStyle w:val="FootnoteReference"/>
          <w:rFonts w:ascii="Book Antiqua" w:hAnsi="Book Antiqua"/>
          <w:sz w:val="20"/>
          <w:szCs w:val="20"/>
        </w:rPr>
        <w:footnoteReference w:id="65"/>
      </w:r>
    </w:p>
    <w:p w:rsidR="00255F7A" w:rsidRDefault="00C014B2" w:rsidP="00AF7128">
      <w:pPr>
        <w:tabs>
          <w:tab w:val="left" w:pos="0"/>
        </w:tabs>
        <w:spacing w:after="120"/>
        <w:rPr>
          <w:rFonts w:ascii="Book Antiqua" w:hAnsi="Book Antiqua"/>
        </w:rPr>
      </w:pPr>
      <w:r>
        <w:rPr>
          <w:rFonts w:ascii="Book Antiqua" w:hAnsi="Book Antiqua"/>
        </w:rPr>
        <w:t xml:space="preserve">You get the nauseating picture; there’s plenty more where those came from. </w:t>
      </w:r>
    </w:p>
    <w:p w:rsidR="00581B08" w:rsidRDefault="00581B08" w:rsidP="00AF7128">
      <w:pPr>
        <w:tabs>
          <w:tab w:val="left" w:pos="0"/>
        </w:tabs>
        <w:spacing w:after="120"/>
        <w:rPr>
          <w:rFonts w:ascii="Book Antiqua" w:hAnsi="Book Antiqua"/>
        </w:rPr>
      </w:pPr>
      <w:r>
        <w:rPr>
          <w:rFonts w:ascii="Book Antiqua" w:hAnsi="Book Antiqua"/>
        </w:rPr>
        <w:tab/>
        <w:t>Acknowledging the difference – race is not gender – the similarities are troubling.  There is dependence on a notion of nature rooted in a notion of the Creator’s intent, a notion whose genesis is found in Genesis.  There was common argument about the well-being of children; well into our lifetimes – yours and mine – society judged it preferable for children to be institutionalized rather than raised in ‘such’ homes.</w:t>
      </w:r>
      <w:r>
        <w:rPr>
          <w:rStyle w:val="FootnoteReference"/>
          <w:rFonts w:ascii="Book Antiqua" w:hAnsi="Book Antiqua"/>
        </w:rPr>
        <w:footnoteReference w:id="66"/>
      </w:r>
      <w:r>
        <w:rPr>
          <w:rFonts w:ascii="Book Antiqua" w:hAnsi="Book Antiqua"/>
        </w:rPr>
        <w:t xml:space="preserve">  There were warnings of the imminent collapse of civilization, if the traditional notion of marriage</w:t>
      </w:r>
      <w:r w:rsidR="00101805">
        <w:rPr>
          <w:rStyle w:val="FootnoteReference"/>
          <w:rFonts w:ascii="Book Antiqua" w:hAnsi="Book Antiqua"/>
        </w:rPr>
        <w:footnoteReference w:id="67"/>
      </w:r>
      <w:r>
        <w:rPr>
          <w:rFonts w:ascii="Book Antiqua" w:hAnsi="Book Antiqua"/>
        </w:rPr>
        <w:t xml:space="preserve"> were transgressed.</w:t>
      </w:r>
      <w:r w:rsidR="009D1AEC">
        <w:rPr>
          <w:rFonts w:ascii="Book Antiqua" w:hAnsi="Book Antiqua"/>
        </w:rPr>
        <w:t xml:space="preserve">  There were also </w:t>
      </w:r>
      <w:r w:rsidR="003C2A0E">
        <w:rPr>
          <w:rFonts w:ascii="Book Antiqua" w:hAnsi="Book Antiqua"/>
        </w:rPr>
        <w:t>assurances</w:t>
      </w:r>
      <w:r w:rsidR="009D1AEC">
        <w:rPr>
          <w:rFonts w:ascii="Book Antiqua" w:hAnsi="Book Antiqua"/>
        </w:rPr>
        <w:t xml:space="preserve"> that no lack of justice was involved, no absence of charity implied.</w:t>
      </w:r>
    </w:p>
    <w:p w:rsidR="00581B08" w:rsidRDefault="00581B08" w:rsidP="00AF7128">
      <w:pPr>
        <w:tabs>
          <w:tab w:val="left" w:pos="0"/>
        </w:tabs>
        <w:spacing w:after="120"/>
        <w:rPr>
          <w:rFonts w:ascii="Book Antiqua" w:hAnsi="Book Antiqua"/>
        </w:rPr>
      </w:pPr>
      <w:r>
        <w:rPr>
          <w:rFonts w:ascii="Book Antiqua" w:hAnsi="Book Antiqua"/>
        </w:rPr>
        <w:tab/>
        <w:t>A further similarity is tha</w:t>
      </w:r>
      <w:r w:rsidR="002A7387">
        <w:rPr>
          <w:rFonts w:ascii="Book Antiqua" w:hAnsi="Book Antiqua"/>
        </w:rPr>
        <w:t>t tinkering with antimiscegenation</w:t>
      </w:r>
      <w:r>
        <w:rPr>
          <w:rFonts w:ascii="Book Antiqua" w:hAnsi="Book Antiqua"/>
        </w:rPr>
        <w:t xml:space="preserve"> laws waxed and waned (though the waning never seemed to touch Dixie):  a tightening trend leading up to the Civil War, a loosening trend following it.  Regional repeal movements in the 1880s, and then boxer Jack Jackson married a white woman in 1913, setting off a political firestorm that virtually swept the nation.  “Only California, Massachusetts, New Hampshire, New Mexico, Rhode Island, and Vermont did not succumb to the antimiscegenist frenzy.”</w:t>
      </w:r>
      <w:r>
        <w:rPr>
          <w:rStyle w:val="FootnoteReference"/>
          <w:rFonts w:ascii="Book Antiqua" w:hAnsi="Book Antiqua"/>
        </w:rPr>
        <w:footnoteReference w:id="68"/>
      </w:r>
      <w:r w:rsidR="00824C6E">
        <w:rPr>
          <w:rFonts w:ascii="Book Antiqua" w:hAnsi="Book Antiqua"/>
        </w:rPr>
        <w:t xml:space="preserve">  Legislative bodies and </w:t>
      </w:r>
      <w:r w:rsidR="00824C6E">
        <w:rPr>
          <w:rFonts w:ascii="Book Antiqua" w:hAnsi="Book Antiqua"/>
        </w:rPr>
        <w:lastRenderedPageBreak/>
        <w:t>plebisci</w:t>
      </w:r>
      <w:r w:rsidR="00B25CB4">
        <w:rPr>
          <w:rFonts w:ascii="Book Antiqua" w:hAnsi="Book Antiqua"/>
        </w:rPr>
        <w:t>tes in state after state copied</w:t>
      </w:r>
      <w:r w:rsidR="00824C6E">
        <w:rPr>
          <w:rFonts w:ascii="Book Antiqua" w:hAnsi="Book Antiqua"/>
        </w:rPr>
        <w:t xml:space="preserve"> each other, tweaking each other’s bans, tightening a screw here, loosening a knot there.</w:t>
      </w:r>
    </w:p>
    <w:p w:rsidR="00824C6E" w:rsidRDefault="00824C6E" w:rsidP="00AF7128">
      <w:pPr>
        <w:tabs>
          <w:tab w:val="left" w:pos="0"/>
        </w:tabs>
        <w:spacing w:after="120"/>
        <w:rPr>
          <w:rFonts w:ascii="Book Antiqua" w:hAnsi="Book Antiqua"/>
        </w:rPr>
      </w:pPr>
      <w:r>
        <w:rPr>
          <w:rFonts w:ascii="Book Antiqua" w:hAnsi="Book Antiqua"/>
        </w:rPr>
        <w:tab/>
        <w:t>A difference:  the Church Catholic conjectured only as an innocent bystander.  The canonical rights of her members, trampled by Leviathan, evoked barely a murmur.  As late as 1967, when sixteen extraordinary Ordinaries</w:t>
      </w:r>
      <w:r>
        <w:rPr>
          <w:rStyle w:val="FootnoteReference"/>
          <w:rFonts w:ascii="Book Antiqua" w:hAnsi="Book Antiqua"/>
        </w:rPr>
        <w:footnoteReference w:id="69"/>
      </w:r>
      <w:r>
        <w:rPr>
          <w:rFonts w:ascii="Book Antiqua" w:hAnsi="Book Antiqua"/>
        </w:rPr>
        <w:t xml:space="preserve"> signed on to an </w:t>
      </w:r>
      <w:r w:rsidRPr="00824C6E">
        <w:rPr>
          <w:rFonts w:ascii="Book Antiqua" w:hAnsi="Book Antiqua"/>
          <w:i/>
        </w:rPr>
        <w:t>amicus curiae</w:t>
      </w:r>
      <w:r>
        <w:rPr>
          <w:rFonts w:ascii="Book Antiqua" w:hAnsi="Book Antiqua"/>
        </w:rPr>
        <w:t xml:space="preserve"> brief in the Lovings’ appeal to the Supreme Court, the USCC demurred, citing the absence of any compelling Church interest.</w:t>
      </w:r>
      <w:r>
        <w:rPr>
          <w:rStyle w:val="FootnoteReference"/>
          <w:rFonts w:ascii="Book Antiqua" w:hAnsi="Book Antiqua"/>
        </w:rPr>
        <w:footnoteReference w:id="70"/>
      </w:r>
      <w:r>
        <w:rPr>
          <w:rFonts w:ascii="Book Antiqua" w:hAnsi="Book Antiqua"/>
        </w:rPr>
        <w:t xml:space="preserve">  Ponder the strangeness of difference:  when the State </w:t>
      </w:r>
      <w:r w:rsidRPr="002A7387">
        <w:rPr>
          <w:rFonts w:ascii="Book Antiqua" w:hAnsi="Book Antiqua"/>
          <w:i/>
        </w:rPr>
        <w:t>ex</w:t>
      </w:r>
      <w:r>
        <w:rPr>
          <w:rFonts w:ascii="Book Antiqua" w:hAnsi="Book Antiqua"/>
        </w:rPr>
        <w:t xml:space="preserve">cluded persons whom the Church held to have rights to </w:t>
      </w:r>
      <w:r w:rsidRPr="002A7387">
        <w:rPr>
          <w:rFonts w:ascii="Book Antiqua" w:hAnsi="Book Antiqua"/>
          <w:i/>
        </w:rPr>
        <w:t>in</w:t>
      </w:r>
      <w:r>
        <w:rPr>
          <w:rFonts w:ascii="Book Antiqua" w:hAnsi="Book Antiqua"/>
        </w:rPr>
        <w:t xml:space="preserve">clusion, almost nary a peep; when the State considers </w:t>
      </w:r>
      <w:r w:rsidRPr="002A7387">
        <w:rPr>
          <w:rFonts w:ascii="Book Antiqua" w:hAnsi="Book Antiqua"/>
          <w:i/>
        </w:rPr>
        <w:t>in</w:t>
      </w:r>
      <w:r>
        <w:rPr>
          <w:rFonts w:ascii="Book Antiqua" w:hAnsi="Book Antiqua"/>
        </w:rPr>
        <w:t xml:space="preserve">cluding persons the Church would have </w:t>
      </w:r>
      <w:r w:rsidRPr="002A7387">
        <w:rPr>
          <w:rFonts w:ascii="Book Antiqua" w:hAnsi="Book Antiqua"/>
          <w:i/>
        </w:rPr>
        <w:t>ex</w:t>
      </w:r>
      <w:r>
        <w:rPr>
          <w:rFonts w:ascii="Book Antiqua" w:hAnsi="Book Antiqua"/>
        </w:rPr>
        <w:t>cluded, all hell breaks loose – and the ‘breaking loose’ does seem to me infernal, not paradisal.</w:t>
      </w:r>
    </w:p>
    <w:p w:rsidR="002D57E2" w:rsidRDefault="002D57E2" w:rsidP="00AF7128">
      <w:pPr>
        <w:tabs>
          <w:tab w:val="left" w:pos="0"/>
        </w:tabs>
        <w:spacing w:after="120"/>
        <w:rPr>
          <w:rFonts w:ascii="Book Antiqua" w:hAnsi="Book Antiqua"/>
        </w:rPr>
      </w:pPr>
      <w:r>
        <w:rPr>
          <w:rFonts w:ascii="Book Antiqua" w:hAnsi="Book Antiqua"/>
        </w:rPr>
        <w:tab/>
        <w:t>A final similarity, and then a reprise of step one up the mountain.</w:t>
      </w:r>
    </w:p>
    <w:p w:rsidR="002D57E2" w:rsidRDefault="002D57E2" w:rsidP="00AF7128">
      <w:pPr>
        <w:tabs>
          <w:tab w:val="left" w:pos="0"/>
        </w:tabs>
        <w:spacing w:after="120"/>
        <w:rPr>
          <w:rFonts w:ascii="Book Antiqua" w:hAnsi="Book Antiqua"/>
        </w:rPr>
      </w:pPr>
      <w:r>
        <w:rPr>
          <w:rFonts w:ascii="Book Antiqua" w:hAnsi="Book Antiqua"/>
        </w:rPr>
        <w:tab/>
        <w:t>The cast of characters rings a bell:  the impetus of the argument against the very possibility of interracial marriage came largely from Protestant Evangelicalism; the lonely resistance came from the American Civil Liberties Union (this potato was too hot even for the NAACP).  The first law review article</w:t>
      </w:r>
      <w:r>
        <w:rPr>
          <w:rStyle w:val="FootnoteReference"/>
          <w:rFonts w:ascii="Book Antiqua" w:hAnsi="Book Antiqua"/>
        </w:rPr>
        <w:footnoteReference w:id="71"/>
      </w:r>
      <w:r>
        <w:rPr>
          <w:rFonts w:ascii="Book Antiqua" w:hAnsi="Book Antiqua"/>
        </w:rPr>
        <w:t xml:space="preserve"> about the Supreme Court’s decision in </w:t>
      </w:r>
      <w:r w:rsidRPr="002D57E2">
        <w:rPr>
          <w:rFonts w:ascii="Book Antiqua" w:hAnsi="Book Antiqua"/>
          <w:i/>
        </w:rPr>
        <w:t>Loving v. Virginia</w:t>
      </w:r>
      <w:r>
        <w:rPr>
          <w:rFonts w:ascii="Book Antiqua" w:hAnsi="Book Antiqua"/>
        </w:rPr>
        <w:t xml:space="preserve"> was written by Fr. Robert Drinan, God rest his soul.</w:t>
      </w:r>
    </w:p>
    <w:p w:rsidR="004932E5" w:rsidRPr="0015552E" w:rsidRDefault="002D57E2" w:rsidP="002D57E2">
      <w:pPr>
        <w:spacing w:after="120"/>
        <w:ind w:firstLine="720"/>
        <w:rPr>
          <w:rFonts w:ascii="Book Antiqua" w:hAnsi="Book Antiqua"/>
        </w:rPr>
      </w:pPr>
      <w:r>
        <w:rPr>
          <w:rFonts w:ascii="Book Antiqua" w:hAnsi="Book Antiqua"/>
        </w:rPr>
        <w:t>By way of reprise, a caution:  b</w:t>
      </w:r>
      <w:r w:rsidR="004932E5" w:rsidRPr="0015552E">
        <w:rPr>
          <w:rFonts w:ascii="Book Antiqua" w:hAnsi="Book Antiqua"/>
        </w:rPr>
        <w:t>e careful in making natural law arguments</w:t>
      </w:r>
      <w:r>
        <w:rPr>
          <w:rFonts w:ascii="Book Antiqua" w:hAnsi="Book Antiqua"/>
        </w:rPr>
        <w:t xml:space="preserve"> in proposing positive law that excludes from participation in the goods of </w:t>
      </w:r>
      <w:r w:rsidR="008A2147">
        <w:rPr>
          <w:rFonts w:ascii="Book Antiqua" w:hAnsi="Book Antiqua"/>
        </w:rPr>
        <w:t xml:space="preserve">social </w:t>
      </w:r>
      <w:r>
        <w:rPr>
          <w:rFonts w:ascii="Book Antiqua" w:hAnsi="Book Antiqua"/>
        </w:rPr>
        <w:t>life</w:t>
      </w:r>
      <w:r w:rsidR="004932E5" w:rsidRPr="0015552E">
        <w:rPr>
          <w:rFonts w:ascii="Book Antiqua" w:hAnsi="Book Antiqua"/>
        </w:rPr>
        <w:t>.</w:t>
      </w:r>
      <w:r>
        <w:rPr>
          <w:rFonts w:ascii="Book Antiqua" w:hAnsi="Book Antiqua"/>
        </w:rPr>
        <w:t xml:space="preserve">  There was, there and then, far too little such caution.</w:t>
      </w:r>
      <w:r w:rsidR="001560B5">
        <w:rPr>
          <w:rFonts w:ascii="Book Antiqua" w:hAnsi="Book Antiqua"/>
        </w:rPr>
        <w:t xml:space="preserve">  Plenty of assertions by other men in pointy white hats insisting, ‘There can be no doubt…’  Plenty of intuition into the meaning of embodiment.  But so little openness to further relevant questions.  Why?  In retrospect, it seems fairly simple; such questions were, literally, taboo.</w:t>
      </w:r>
      <w:r w:rsidR="00160FB8">
        <w:rPr>
          <w:rFonts w:ascii="Book Antiqua" w:hAnsi="Book Antiqua"/>
        </w:rPr>
        <w:t xml:space="preserve">  And a taboo always seems a first principle of natural law to those caught under its spell.  Always.  And one never perceives that one is under the spell, until one isn’t.  Never.</w:t>
      </w:r>
    </w:p>
    <w:p w:rsidR="004932E5" w:rsidRDefault="00160FB8" w:rsidP="004F4E64">
      <w:pPr>
        <w:tabs>
          <w:tab w:val="left" w:pos="8640"/>
        </w:tabs>
        <w:spacing w:after="120"/>
        <w:ind w:firstLine="720"/>
        <w:rPr>
          <w:rFonts w:ascii="Book Antiqua" w:hAnsi="Book Antiqua"/>
        </w:rPr>
      </w:pPr>
      <w:r>
        <w:rPr>
          <w:rFonts w:ascii="Book Antiqua" w:hAnsi="Book Antiqua"/>
        </w:rPr>
        <w:t xml:space="preserve">The question emerges as to how the spell is broken.  John Noonan suggests that it comes by way of revelation, more precisely by three ways of “deepening the </w:t>
      </w:r>
      <w:r w:rsidR="00502D7B">
        <w:rPr>
          <w:rFonts w:ascii="Book Antiqua" w:hAnsi="Book Antiqua"/>
        </w:rPr>
        <w:t>understanding of revelation</w:t>
      </w:r>
      <w:r>
        <w:rPr>
          <w:rFonts w:ascii="Book Antiqua" w:hAnsi="Book Antiqua"/>
        </w:rPr>
        <w:t>:</w:t>
      </w:r>
      <w:r w:rsidR="00502D7B">
        <w:rPr>
          <w:rFonts w:ascii="Book Antiqua" w:hAnsi="Book Antiqua"/>
        </w:rPr>
        <w:t>”</w:t>
      </w:r>
      <w:r>
        <w:rPr>
          <w:rFonts w:ascii="Book Antiqua" w:hAnsi="Book Antiqua"/>
        </w:rPr>
        <w:t xml:space="preserve">  (1) </w:t>
      </w:r>
      <w:r w:rsidR="009C1407">
        <w:rPr>
          <w:rFonts w:ascii="Book Antiqua" w:hAnsi="Book Antiqua"/>
        </w:rPr>
        <w:t xml:space="preserve">by </w:t>
      </w:r>
      <w:r>
        <w:rPr>
          <w:rFonts w:ascii="Book Antiqua" w:hAnsi="Book Antiqua"/>
        </w:rPr>
        <w:t xml:space="preserve">empathetic identification with the other; (2) </w:t>
      </w:r>
      <w:r w:rsidR="009C1407">
        <w:rPr>
          <w:rFonts w:ascii="Book Antiqua" w:hAnsi="Book Antiqua"/>
        </w:rPr>
        <w:t xml:space="preserve">by </w:t>
      </w:r>
      <w:r>
        <w:rPr>
          <w:rFonts w:ascii="Book Antiqua" w:hAnsi="Book Antiqua"/>
        </w:rPr>
        <w:t>empirical investigation, e</w:t>
      </w:r>
      <w:r w:rsidR="003E1DAC">
        <w:rPr>
          <w:rFonts w:ascii="Book Antiqua" w:hAnsi="Book Antiqua"/>
        </w:rPr>
        <w:t>s</w:t>
      </w:r>
      <w:r>
        <w:rPr>
          <w:rFonts w:ascii="Book Antiqua" w:hAnsi="Book Antiqua"/>
        </w:rPr>
        <w:t>pecially “in the</w:t>
      </w:r>
      <w:r w:rsidR="00502D7B">
        <w:rPr>
          <w:rFonts w:ascii="Book Antiqua" w:hAnsi="Book Antiqua"/>
        </w:rPr>
        <w:t xml:space="preserve"> observation of human practices</w:t>
      </w:r>
      <w:r>
        <w:rPr>
          <w:rFonts w:ascii="Book Antiqua" w:hAnsi="Book Antiqua"/>
        </w:rPr>
        <w:t>;</w:t>
      </w:r>
      <w:r w:rsidR="00502D7B">
        <w:rPr>
          <w:rFonts w:ascii="Book Antiqua" w:hAnsi="Book Antiqua"/>
        </w:rPr>
        <w:t>”</w:t>
      </w:r>
      <w:r>
        <w:rPr>
          <w:rFonts w:ascii="Book Antiqua" w:hAnsi="Book Antiqua"/>
        </w:rPr>
        <w:t xml:space="preserve"> and (3) by “the development, intellectual, moral, emotional, and social, of human beings.”</w:t>
      </w:r>
      <w:r>
        <w:rPr>
          <w:rStyle w:val="FootnoteReference"/>
          <w:rFonts w:ascii="Book Antiqua" w:hAnsi="Book Antiqua"/>
        </w:rPr>
        <w:footnoteReference w:id="72"/>
      </w:r>
      <w:r w:rsidR="003E1DAC">
        <w:rPr>
          <w:rFonts w:ascii="Book Antiqua" w:hAnsi="Book Antiqua"/>
        </w:rPr>
        <w:t xml:space="preserve">  In other words:  get to know </w:t>
      </w:r>
      <w:r w:rsidR="00A96BCB">
        <w:rPr>
          <w:rFonts w:ascii="Book Antiqua" w:hAnsi="Book Antiqua"/>
        </w:rPr>
        <w:t xml:space="preserve">‘other’ </w:t>
      </w:r>
      <w:r w:rsidR="003E1DAC">
        <w:rPr>
          <w:rFonts w:ascii="Book Antiqua" w:hAnsi="Book Antiqua"/>
        </w:rPr>
        <w:t xml:space="preserve">people, </w:t>
      </w:r>
      <w:r w:rsidR="003E1DAC">
        <w:rPr>
          <w:rFonts w:ascii="Book Antiqua" w:hAnsi="Book Antiqua"/>
        </w:rPr>
        <w:lastRenderedPageBreak/>
        <w:t xml:space="preserve">watch and listen to them, and be open to whatever conversion – intellectual, moral, </w:t>
      </w:r>
      <w:r w:rsidR="00662C11">
        <w:rPr>
          <w:rFonts w:ascii="Book Antiqua" w:hAnsi="Book Antiqua"/>
        </w:rPr>
        <w:t xml:space="preserve">affective, </w:t>
      </w:r>
      <w:r w:rsidR="003E1DAC">
        <w:rPr>
          <w:rFonts w:ascii="Book Antiqua" w:hAnsi="Book Antiqua"/>
        </w:rPr>
        <w:t>and religious – might come your way, however unbidden and, even, unwelcome.</w:t>
      </w:r>
    </w:p>
    <w:p w:rsidR="003E1DAC" w:rsidRDefault="003E1DAC" w:rsidP="00160FB8">
      <w:pPr>
        <w:tabs>
          <w:tab w:val="left" w:pos="8640"/>
        </w:tabs>
        <w:spacing w:after="120"/>
        <w:ind w:firstLine="720"/>
        <w:rPr>
          <w:rFonts w:ascii="Book Antiqua" w:hAnsi="Book Antiqua"/>
        </w:rPr>
      </w:pPr>
      <w:r>
        <w:rPr>
          <w:rFonts w:ascii="Book Antiqua" w:hAnsi="Book Antiqua"/>
        </w:rPr>
        <w:t xml:space="preserve">White and black folks started going to school with each other, working with each other, </w:t>
      </w:r>
      <w:r w:rsidR="004C105B">
        <w:rPr>
          <w:rFonts w:ascii="Book Antiqua" w:hAnsi="Book Antiqua"/>
        </w:rPr>
        <w:t xml:space="preserve">living next door to each other – even, though far more rarely, </w:t>
      </w:r>
      <w:r>
        <w:rPr>
          <w:rFonts w:ascii="Book Antiqua" w:hAnsi="Book Antiqua"/>
        </w:rPr>
        <w:t xml:space="preserve">going to Church with each other.  As a few such folks fell in love and married, we noticed that, while a house of </w:t>
      </w:r>
      <w:r w:rsidR="00814851">
        <w:rPr>
          <w:rFonts w:ascii="Book Antiqua" w:hAnsi="Book Antiqua"/>
        </w:rPr>
        <w:t xml:space="preserve">cultural </w:t>
      </w:r>
      <w:r>
        <w:rPr>
          <w:rFonts w:ascii="Book Antiqua" w:hAnsi="Book Antiqua"/>
        </w:rPr>
        <w:t>cards collapsed, civilization didn’t.  And we changed, most of us, certainly as a social whole.  What had seemed an unquestionable truth, now not only seems untrue, but abhorrent.</w:t>
      </w:r>
      <w:r w:rsidR="00D952E5">
        <w:rPr>
          <w:rStyle w:val="FootnoteReference"/>
          <w:rFonts w:ascii="Book Antiqua" w:hAnsi="Book Antiqua"/>
        </w:rPr>
        <w:footnoteReference w:id="73"/>
      </w:r>
    </w:p>
    <w:p w:rsidR="003E1DAC" w:rsidRDefault="00826BAE" w:rsidP="00160FB8">
      <w:pPr>
        <w:tabs>
          <w:tab w:val="left" w:pos="8640"/>
        </w:tabs>
        <w:spacing w:after="120"/>
        <w:ind w:firstLine="720"/>
        <w:rPr>
          <w:rFonts w:ascii="Book Antiqua" w:hAnsi="Book Antiqua"/>
        </w:rPr>
      </w:pPr>
      <w:r>
        <w:rPr>
          <w:rFonts w:ascii="Book Antiqua" w:hAnsi="Book Antiqua"/>
        </w:rPr>
        <w:t>Noonan understands the Church’s complacent bystanding, at best, and outright resistance, at least as often:</w:t>
      </w:r>
    </w:p>
    <w:p w:rsidR="00826BAE" w:rsidRPr="00826BAE" w:rsidRDefault="00826BAE" w:rsidP="00826BAE">
      <w:pPr>
        <w:tabs>
          <w:tab w:val="left" w:pos="8640"/>
        </w:tabs>
        <w:spacing w:after="120"/>
        <w:ind w:left="720" w:right="720"/>
        <w:rPr>
          <w:rFonts w:ascii="Book Antiqua" w:hAnsi="Book Antiqua"/>
          <w:sz w:val="20"/>
          <w:szCs w:val="20"/>
        </w:rPr>
      </w:pPr>
      <w:r>
        <w:rPr>
          <w:rFonts w:ascii="Book Antiqua" w:hAnsi="Book Antiqua"/>
          <w:sz w:val="20"/>
          <w:szCs w:val="20"/>
        </w:rPr>
        <w:t xml:space="preserve">. . . moral theologians are often catching up with what is already established, that, at least in the cases looked at </w:t>
      </w:r>
      <w:proofErr w:type="spellStart"/>
      <w:r>
        <w:rPr>
          <w:rFonts w:ascii="Book Antiqua" w:hAnsi="Book Antiqua"/>
          <w:sz w:val="20"/>
          <w:szCs w:val="20"/>
        </w:rPr>
        <w:t>here</w:t>
      </w:r>
      <w:proofErr w:type="spellEnd"/>
      <w:r>
        <w:rPr>
          <w:rFonts w:ascii="Book Antiqua" w:hAnsi="Book Antiqua"/>
          <w:sz w:val="20"/>
          <w:szCs w:val="20"/>
        </w:rPr>
        <w:t xml:space="preserve"> [usury, slavery, and religious freedom], they did not lead the way.  A somewhat different implication could also be drawn, that experience and empathy are necessary before a practice can be definitively known as good or bad.</w:t>
      </w:r>
      <w:r>
        <w:rPr>
          <w:rStyle w:val="FootnoteReference"/>
          <w:rFonts w:ascii="Book Antiqua" w:hAnsi="Book Antiqua"/>
          <w:sz w:val="20"/>
          <w:szCs w:val="20"/>
        </w:rPr>
        <w:footnoteReference w:id="74"/>
      </w:r>
    </w:p>
    <w:p w:rsidR="00826BAE" w:rsidRDefault="00826BAE" w:rsidP="00004C0B">
      <w:pPr>
        <w:tabs>
          <w:tab w:val="left" w:pos="8640"/>
        </w:tabs>
        <w:spacing w:after="120"/>
        <w:rPr>
          <w:rFonts w:ascii="Book Antiqua" w:hAnsi="Book Antiqua"/>
        </w:rPr>
      </w:pPr>
      <w:r>
        <w:rPr>
          <w:rFonts w:ascii="Book Antiqua" w:hAnsi="Book Antiqua"/>
        </w:rPr>
        <w:t>In Lonergan’s</w:t>
      </w:r>
      <w:r w:rsidR="0063682E">
        <w:rPr>
          <w:rFonts w:ascii="Book Antiqua" w:hAnsi="Book Antiqua"/>
        </w:rPr>
        <w:t xml:space="preserve"> pithy formulation, the Church </w:t>
      </w:r>
      <w:r>
        <w:rPr>
          <w:rFonts w:ascii="Book Antiqua" w:hAnsi="Book Antiqua"/>
        </w:rPr>
        <w:t xml:space="preserve">tends to </w:t>
      </w:r>
      <w:r w:rsidR="001C3F53">
        <w:rPr>
          <w:rFonts w:ascii="Book Antiqua" w:hAnsi="Book Antiqua"/>
        </w:rPr>
        <w:t>find itself “in the unenviable position of always arriving on the scene</w:t>
      </w:r>
      <w:r>
        <w:rPr>
          <w:rFonts w:ascii="Book Antiqua" w:hAnsi="Book Antiqua"/>
        </w:rPr>
        <w:t xml:space="preserve"> a little </w:t>
      </w:r>
      <w:r w:rsidR="0063682E">
        <w:rPr>
          <w:rFonts w:ascii="Book Antiqua" w:hAnsi="Book Antiqua"/>
        </w:rPr>
        <w:t>breathless</w:t>
      </w:r>
      <w:r w:rsidR="001C3F53">
        <w:rPr>
          <w:rFonts w:ascii="Book Antiqua" w:hAnsi="Book Antiqua"/>
        </w:rPr>
        <w:t>ly</w:t>
      </w:r>
      <w:r w:rsidR="0063682E">
        <w:rPr>
          <w:rFonts w:ascii="Book Antiqua" w:hAnsi="Book Antiqua"/>
        </w:rPr>
        <w:t xml:space="preserve"> and a little late</w:t>
      </w:r>
      <w:r>
        <w:rPr>
          <w:rFonts w:ascii="Book Antiqua" w:hAnsi="Book Antiqua"/>
        </w:rPr>
        <w:t>.”</w:t>
      </w:r>
      <w:r>
        <w:rPr>
          <w:rStyle w:val="FootnoteReference"/>
          <w:rFonts w:ascii="Book Antiqua" w:hAnsi="Book Antiqua"/>
        </w:rPr>
        <w:footnoteReference w:id="75"/>
      </w:r>
      <w:r>
        <w:rPr>
          <w:rFonts w:ascii="Book Antiqua" w:hAnsi="Book Antiqua"/>
        </w:rPr>
        <w:t xml:space="preserve">  But we do tend to get there, and to catch our breath, sacraments celebrated in new context</w:t>
      </w:r>
      <w:r w:rsidR="00C54C40">
        <w:rPr>
          <w:rFonts w:ascii="Book Antiqua" w:hAnsi="Book Antiqua"/>
        </w:rPr>
        <w:t>s</w:t>
      </w:r>
      <w:r>
        <w:rPr>
          <w:rFonts w:ascii="Book Antiqua" w:hAnsi="Book Antiqua"/>
        </w:rPr>
        <w:t>, the Word proclaimed a bit more widely.  Noonan</w:t>
      </w:r>
      <w:r w:rsidR="00E50BE2">
        <w:rPr>
          <w:rFonts w:ascii="Book Antiqua" w:hAnsi="Book Antiqua"/>
        </w:rPr>
        <w:t xml:space="preserve"> notes</w:t>
      </w:r>
      <w:r>
        <w:rPr>
          <w:rFonts w:ascii="Book Antiqua" w:hAnsi="Book Antiqua"/>
        </w:rPr>
        <w:t>:</w:t>
      </w:r>
    </w:p>
    <w:p w:rsidR="00826BAE" w:rsidRPr="00826BAE" w:rsidRDefault="00826BAE" w:rsidP="00826BAE">
      <w:pPr>
        <w:tabs>
          <w:tab w:val="left" w:pos="8640"/>
        </w:tabs>
        <w:spacing w:after="120"/>
        <w:ind w:left="720" w:right="720"/>
        <w:rPr>
          <w:rFonts w:ascii="Book Antiqua" w:hAnsi="Book Antiqua"/>
          <w:sz w:val="20"/>
          <w:szCs w:val="20"/>
        </w:rPr>
      </w:pPr>
      <w:r>
        <w:rPr>
          <w:rFonts w:ascii="Book Antiqua" w:hAnsi="Book Antiqua"/>
          <w:sz w:val="20"/>
          <w:szCs w:val="20"/>
        </w:rPr>
        <w:t>Love must ‘abound’ in order to ‘test what is vital’ (Phil 1.9-10).  Love accomplishes this task by abounding ‘in knowledge and in insight of every kind.’  That is, by empathetic identification with the other.</w:t>
      </w:r>
      <w:r>
        <w:rPr>
          <w:rStyle w:val="FootnoteReference"/>
          <w:rFonts w:ascii="Book Antiqua" w:hAnsi="Book Antiqua"/>
          <w:sz w:val="20"/>
          <w:szCs w:val="20"/>
        </w:rPr>
        <w:footnoteReference w:id="76"/>
      </w:r>
    </w:p>
    <w:p w:rsidR="00E50BE2" w:rsidRDefault="00E50BE2" w:rsidP="00071BF1">
      <w:pPr>
        <w:tabs>
          <w:tab w:val="left" w:pos="0"/>
        </w:tabs>
        <w:spacing w:after="120"/>
        <w:ind w:firstLine="720"/>
        <w:rPr>
          <w:rFonts w:ascii="Book Antiqua" w:hAnsi="Book Antiqua"/>
        </w:rPr>
      </w:pPr>
      <w:r>
        <w:rPr>
          <w:rFonts w:ascii="Book Antiqua" w:hAnsi="Book Antiqua"/>
        </w:rPr>
        <w:t xml:space="preserve">How apt, a Balthasarian might even </w:t>
      </w:r>
      <w:r w:rsidR="00071BF1">
        <w:rPr>
          <w:rFonts w:ascii="Book Antiqua" w:hAnsi="Book Antiqua"/>
        </w:rPr>
        <w:t>say beautiful, the following</w:t>
      </w:r>
      <w:r>
        <w:rPr>
          <w:rFonts w:ascii="Book Antiqua" w:hAnsi="Book Antiqua"/>
        </w:rPr>
        <w:t xml:space="preserve"> description of a wedding in Virginia, a month after the Supreme Court had spoken in </w:t>
      </w:r>
      <w:r w:rsidRPr="00E50BE2">
        <w:rPr>
          <w:rFonts w:ascii="Book Antiqua" w:hAnsi="Book Antiqua"/>
          <w:i/>
        </w:rPr>
        <w:t>Loving v. Virginia</w:t>
      </w:r>
      <w:r>
        <w:rPr>
          <w:rFonts w:ascii="Book Antiqua" w:hAnsi="Book Antiqua"/>
        </w:rPr>
        <w:t>.  Herman McDaniel and Joyce Prescott headed to the courthouse to marry.  Not a single magistrate was willing to oblige.</w:t>
      </w:r>
    </w:p>
    <w:p w:rsidR="00E50BE2" w:rsidRPr="00E50BE2" w:rsidRDefault="00E50BE2" w:rsidP="00E50BE2">
      <w:pPr>
        <w:tabs>
          <w:tab w:val="left" w:pos="8640"/>
        </w:tabs>
        <w:spacing w:after="120"/>
        <w:ind w:left="720" w:right="720"/>
        <w:rPr>
          <w:rFonts w:ascii="Book Antiqua" w:hAnsi="Book Antiqua"/>
          <w:sz w:val="20"/>
          <w:szCs w:val="20"/>
        </w:rPr>
      </w:pPr>
      <w:r>
        <w:rPr>
          <w:rFonts w:ascii="Book Antiqua" w:hAnsi="Book Antiqua"/>
          <w:sz w:val="20"/>
          <w:szCs w:val="20"/>
        </w:rPr>
        <w:t>Through each step of the journey, more and more onlookers attached themselves to the wedding party.  This entourage proved useful when no judge could be found:  a black Baptist minister in the crowd named David Vaughn offered his services.  He had left home without his Bible, but yet another bystander was able to procure one for him.  It was badly worn and the back was missing, but it was sufficient for the job.</w:t>
      </w:r>
      <w:r>
        <w:rPr>
          <w:rStyle w:val="FootnoteReference"/>
          <w:rFonts w:ascii="Book Antiqua" w:hAnsi="Book Antiqua"/>
          <w:sz w:val="20"/>
          <w:szCs w:val="20"/>
        </w:rPr>
        <w:footnoteReference w:id="77"/>
      </w:r>
    </w:p>
    <w:p w:rsidR="00E50BE2" w:rsidRDefault="004F4E64" w:rsidP="00E50BE2">
      <w:pPr>
        <w:tabs>
          <w:tab w:val="left" w:pos="0"/>
        </w:tabs>
        <w:spacing w:after="120"/>
        <w:ind w:firstLine="720"/>
        <w:rPr>
          <w:rFonts w:ascii="Book Antiqua" w:hAnsi="Book Antiqua"/>
        </w:rPr>
      </w:pPr>
      <w:r>
        <w:rPr>
          <w:rFonts w:ascii="Book Antiqua" w:hAnsi="Book Antiqua"/>
        </w:rPr>
        <w:t xml:space="preserve">Mildred Loving saw herself simply as </w:t>
      </w:r>
      <w:r w:rsidR="00E50BE2">
        <w:rPr>
          <w:rFonts w:ascii="Book Antiqua" w:hAnsi="Book Antiqua"/>
        </w:rPr>
        <w:t>“an ordinary black woman who fell in love with an ordinary white man.”</w:t>
      </w:r>
      <w:r w:rsidR="00E50BE2">
        <w:rPr>
          <w:rStyle w:val="FootnoteReference"/>
          <w:rFonts w:ascii="Book Antiqua" w:hAnsi="Book Antiqua"/>
        </w:rPr>
        <w:footnoteReference w:id="78"/>
      </w:r>
      <w:r w:rsidR="00E50BE2">
        <w:rPr>
          <w:rFonts w:ascii="Book Antiqua" w:hAnsi="Book Antiqua"/>
        </w:rPr>
        <w:t xml:space="preserve">  </w:t>
      </w:r>
      <w:r w:rsidR="00C91E87">
        <w:rPr>
          <w:rFonts w:ascii="Book Antiqua" w:hAnsi="Book Antiqua"/>
        </w:rPr>
        <w:t>Aha!  Sure d</w:t>
      </w:r>
      <w:r w:rsidR="00E50BE2">
        <w:rPr>
          <w:rFonts w:ascii="Book Antiqua" w:hAnsi="Book Antiqua"/>
        </w:rPr>
        <w:t>idn</w:t>
      </w:r>
      <w:r w:rsidR="007E323B">
        <w:rPr>
          <w:rFonts w:ascii="Book Antiqua" w:hAnsi="Book Antiqua"/>
        </w:rPr>
        <w:t>’t seem so ordinary at the time.</w:t>
      </w:r>
    </w:p>
    <w:p w:rsidR="00C91E87" w:rsidRDefault="00F91431" w:rsidP="00E50BE2">
      <w:pPr>
        <w:tabs>
          <w:tab w:val="left" w:pos="0"/>
        </w:tabs>
        <w:spacing w:after="120"/>
        <w:ind w:firstLine="720"/>
        <w:rPr>
          <w:rFonts w:ascii="Book Antiqua" w:hAnsi="Book Antiqua"/>
        </w:rPr>
      </w:pPr>
      <w:r>
        <w:rPr>
          <w:rFonts w:ascii="Book Antiqua" w:hAnsi="Book Antiqua"/>
        </w:rPr>
        <w:lastRenderedPageBreak/>
        <w:t>The second step has found me lingering long, my footing most precarious here.  I have little familiarity with the Augustinian turn of Balthasarian theology.  Yet the conclusion seems inescapable that this ‘turn’, especially with its insistence that nuptiality – human sexual differentiation as male and female, the reality of love between the two as gift-received-and-given, and the fruitfulness that follows – has become the hermeneutical center of official Catholic thought.</w:t>
      </w:r>
      <w:r>
        <w:rPr>
          <w:rStyle w:val="FootnoteReference"/>
          <w:rFonts w:ascii="Book Antiqua" w:hAnsi="Book Antiqua"/>
        </w:rPr>
        <w:footnoteReference w:id="79"/>
      </w:r>
      <w:r w:rsidR="00C24533">
        <w:rPr>
          <w:rFonts w:ascii="Book Antiqua" w:hAnsi="Book Antiqua"/>
        </w:rPr>
        <w:t xml:space="preserve">  So, late last year, I spent about a month attempting a careful reading of Angelo Cardinal Scola’s </w:t>
      </w:r>
      <w:r w:rsidR="00C24533" w:rsidRPr="00C24533">
        <w:rPr>
          <w:rFonts w:ascii="Book Antiqua" w:hAnsi="Book Antiqua"/>
          <w:i/>
        </w:rPr>
        <w:t>The Nuptial Mystery</w:t>
      </w:r>
      <w:r w:rsidR="00C24533">
        <w:rPr>
          <w:rFonts w:ascii="Book Antiqua" w:hAnsi="Book Antiqua"/>
        </w:rPr>
        <w:t>.</w:t>
      </w:r>
      <w:r w:rsidR="00C24533">
        <w:rPr>
          <w:rStyle w:val="FootnoteReference"/>
          <w:rFonts w:ascii="Book Antiqua" w:hAnsi="Book Antiqua"/>
        </w:rPr>
        <w:footnoteReference w:id="80"/>
      </w:r>
      <w:r w:rsidR="00C24533">
        <w:rPr>
          <w:rFonts w:ascii="Book Antiqua" w:hAnsi="Book Antiqua"/>
        </w:rPr>
        <w:t xml:space="preserve">  I have just taken a two week break from writing this whatever-it-is to re-read this book, and have just now set fingers back to keyboard.  </w:t>
      </w:r>
    </w:p>
    <w:p w:rsidR="00FA3E4D" w:rsidRDefault="00FA3E4D" w:rsidP="00E50BE2">
      <w:pPr>
        <w:tabs>
          <w:tab w:val="left" w:pos="0"/>
        </w:tabs>
        <w:spacing w:after="120"/>
        <w:ind w:firstLine="720"/>
        <w:rPr>
          <w:rFonts w:ascii="Book Antiqua" w:hAnsi="Book Antiqua"/>
        </w:rPr>
      </w:pPr>
      <w:r>
        <w:rPr>
          <w:rFonts w:ascii="Book Antiqua" w:hAnsi="Book Antiqua"/>
        </w:rPr>
        <w:t>The appeal of neo-Augustinian/Bonaventuran/Balthasarian theology, it seems to me, is rooted in the evocative thinking and language – indeed, evocative</w:t>
      </w:r>
      <w:r w:rsidR="00BC1885">
        <w:rPr>
          <w:rFonts w:ascii="Book Antiqua" w:hAnsi="Book Antiqua"/>
        </w:rPr>
        <w:t xml:space="preserve"> praying and living – which lie</w:t>
      </w:r>
      <w:r>
        <w:rPr>
          <w:rFonts w:ascii="Book Antiqua" w:hAnsi="Book Antiqua"/>
        </w:rPr>
        <w:t xml:space="preserve"> at its heart.  The </w:t>
      </w:r>
      <w:r w:rsidRPr="00FA3E4D">
        <w:rPr>
          <w:rFonts w:ascii="Book Antiqua" w:hAnsi="Book Antiqua"/>
          <w:i/>
        </w:rPr>
        <w:t>ressourcement</w:t>
      </w:r>
      <w:r>
        <w:rPr>
          <w:rFonts w:ascii="Book Antiqua" w:hAnsi="Book Antiqua"/>
        </w:rPr>
        <w:t xml:space="preserve"> sought by the </w:t>
      </w:r>
      <w:r w:rsidRPr="00FA3E4D">
        <w:rPr>
          <w:rFonts w:ascii="Book Antiqua" w:hAnsi="Book Antiqua"/>
          <w:i/>
        </w:rPr>
        <w:t>nouvelle théologie</w:t>
      </w:r>
      <w:r w:rsidR="004D7A43">
        <w:rPr>
          <w:rFonts w:ascii="Book Antiqua" w:hAnsi="Book Antiqua"/>
        </w:rPr>
        <w:t xml:space="preserve"> a long and blood</w:t>
      </w:r>
      <w:r>
        <w:rPr>
          <w:rFonts w:ascii="Book Antiqua" w:hAnsi="Book Antiqua"/>
        </w:rPr>
        <w:t>y century ago seems to have been, in large part, a reaction against the conceptual aridity of Baroque scholasticism.</w:t>
      </w:r>
      <w:r>
        <w:rPr>
          <w:rStyle w:val="FootnoteReference"/>
          <w:rFonts w:ascii="Book Antiqua" w:hAnsi="Book Antiqua"/>
        </w:rPr>
        <w:footnoteReference w:id="81"/>
      </w:r>
      <w:r>
        <w:rPr>
          <w:rFonts w:ascii="Book Antiqua" w:hAnsi="Book Antiqua"/>
        </w:rPr>
        <w:t xml:space="preserve">  The concepts of tightly enclosed logical systems tend to evoke neither heart-felt worship nor passionate action.  These, rather, are rooted in the bodily and psychic depths of each of us,</w:t>
      </w:r>
      <w:r>
        <w:rPr>
          <w:rStyle w:val="FootnoteReference"/>
          <w:rFonts w:ascii="Book Antiqua" w:hAnsi="Book Antiqua"/>
        </w:rPr>
        <w:footnoteReference w:id="82"/>
      </w:r>
      <w:r>
        <w:rPr>
          <w:rFonts w:ascii="Book Antiqua" w:hAnsi="Book Antiqua"/>
        </w:rPr>
        <w:t xml:space="preserve"> and only a theology attentive to the primacy of ‘the form of the Beautiful’ reaches to those </w:t>
      </w:r>
      <w:r w:rsidR="00607B0B">
        <w:rPr>
          <w:rFonts w:ascii="Book Antiqua" w:hAnsi="Book Antiqua"/>
        </w:rPr>
        <w:t xml:space="preserve">deep </w:t>
      </w:r>
      <w:r>
        <w:rPr>
          <w:rFonts w:ascii="Book Antiqua" w:hAnsi="Book Antiqua"/>
        </w:rPr>
        <w:t>roots.</w:t>
      </w:r>
      <w:r w:rsidR="0097115A">
        <w:rPr>
          <w:rFonts w:ascii="Book Antiqua" w:hAnsi="Book Antiqua"/>
        </w:rPr>
        <w:t xml:space="preserve">  Biblical and patristic writers – the very ‘roots’ of our Tradition – cared much about nourishing such rootedness, as do theologians and pastors today who want to reach back into that Tradition to evoke in us what those writers had evoked in their contemporaries</w:t>
      </w:r>
      <w:r w:rsidR="00CC7C02">
        <w:rPr>
          <w:rFonts w:ascii="Book Antiqua" w:hAnsi="Book Antiqua"/>
        </w:rPr>
        <w:t>, calling forth in us authentic worship and action, not simply drifting with the currents of the time</w:t>
      </w:r>
      <w:r w:rsidR="00140D11">
        <w:rPr>
          <w:rFonts w:ascii="Book Antiqua" w:hAnsi="Book Antiqua"/>
        </w:rPr>
        <w:t xml:space="preserve"> – so easily rationalized by (and with) conceptual clarity.</w:t>
      </w:r>
    </w:p>
    <w:p w:rsidR="00FC5451" w:rsidRDefault="00FC5451" w:rsidP="00E50BE2">
      <w:pPr>
        <w:tabs>
          <w:tab w:val="left" w:pos="0"/>
        </w:tabs>
        <w:spacing w:after="120"/>
        <w:ind w:firstLine="720"/>
        <w:rPr>
          <w:rFonts w:ascii="Book Antiqua" w:hAnsi="Book Antiqua"/>
        </w:rPr>
      </w:pPr>
      <w:r>
        <w:rPr>
          <w:rFonts w:ascii="Book Antiqua" w:hAnsi="Book Antiqua"/>
        </w:rPr>
        <w:t xml:space="preserve">I suspect that it is precisely this evocation of the wellsprings of </w:t>
      </w:r>
      <w:r w:rsidRPr="00986F93">
        <w:rPr>
          <w:rFonts w:ascii="Book Antiqua" w:hAnsi="Book Antiqua"/>
          <w:i/>
        </w:rPr>
        <w:t>living</w:t>
      </w:r>
      <w:r>
        <w:rPr>
          <w:rFonts w:ascii="Book Antiqua" w:hAnsi="Book Antiqua"/>
        </w:rPr>
        <w:t xml:space="preserve"> – in the sense of Eliot’s distinction between “living and partly living”</w:t>
      </w:r>
      <w:r>
        <w:rPr>
          <w:rStyle w:val="FootnoteReference"/>
          <w:rFonts w:ascii="Book Antiqua" w:hAnsi="Book Antiqua"/>
        </w:rPr>
        <w:footnoteReference w:id="83"/>
      </w:r>
      <w:r>
        <w:rPr>
          <w:rFonts w:ascii="Book Antiqua" w:hAnsi="Book Antiqua"/>
        </w:rPr>
        <w:t xml:space="preserve"> </w:t>
      </w:r>
      <w:r w:rsidR="004F39B9">
        <w:rPr>
          <w:rFonts w:ascii="Book Antiqua" w:hAnsi="Book Antiqua"/>
        </w:rPr>
        <w:t>–</w:t>
      </w:r>
      <w:r>
        <w:rPr>
          <w:rFonts w:ascii="Book Antiqua" w:hAnsi="Book Antiqua"/>
        </w:rPr>
        <w:t xml:space="preserve"> </w:t>
      </w:r>
      <w:r w:rsidR="004F39B9">
        <w:rPr>
          <w:rFonts w:ascii="Book Antiqua" w:hAnsi="Book Antiqua"/>
        </w:rPr>
        <w:t xml:space="preserve">that gets to the heart of my love for the three mentors of my adult life:  Bernard Lonergan, Daniel Berrigan, and Bob Dylan (I call them </w:t>
      </w:r>
      <w:r w:rsidR="004F39B9">
        <w:rPr>
          <w:rFonts w:ascii="Book Antiqua" w:hAnsi="Book Antiqua"/>
        </w:rPr>
        <w:lastRenderedPageBreak/>
        <w:t>my ‘two Jesuits and a Jokerman’).</w:t>
      </w:r>
      <w:r w:rsidR="000E18C5">
        <w:rPr>
          <w:rStyle w:val="FootnoteReference"/>
          <w:rFonts w:ascii="Book Antiqua" w:hAnsi="Book Antiqua"/>
        </w:rPr>
        <w:footnoteReference w:id="84"/>
      </w:r>
      <w:r w:rsidR="004F39B9">
        <w:rPr>
          <w:rFonts w:ascii="Book Antiqua" w:hAnsi="Book Antiqua"/>
        </w:rPr>
        <w:t xml:space="preserve">  The latter two are practitioners of the evocative, the former grounding that evocation in the most profound understanding and affirmation of the whole thrust of human intentional consciousness toward the Mystery of the Triune God, but always and everywhere rooted in the con</w:t>
      </w:r>
      <w:r w:rsidR="000A7E36">
        <w:rPr>
          <w:rFonts w:ascii="Book Antiqua" w:hAnsi="Book Antiqua"/>
        </w:rPr>
        <w:t>crete reality of each person in</w:t>
      </w:r>
      <w:r w:rsidR="004F39B9">
        <w:rPr>
          <w:rFonts w:ascii="Book Antiqua" w:hAnsi="Book Antiqua"/>
        </w:rPr>
        <w:t xml:space="preserve"> his/her situation, that I have ever encountered.</w:t>
      </w:r>
    </w:p>
    <w:p w:rsidR="001D5583" w:rsidRDefault="001D5583" w:rsidP="00E50BE2">
      <w:pPr>
        <w:tabs>
          <w:tab w:val="left" w:pos="0"/>
        </w:tabs>
        <w:spacing w:after="120"/>
        <w:ind w:firstLine="720"/>
        <w:rPr>
          <w:rFonts w:ascii="Book Antiqua" w:hAnsi="Book Antiqua"/>
        </w:rPr>
      </w:pPr>
      <w:r>
        <w:rPr>
          <w:rFonts w:ascii="Book Antiqua" w:hAnsi="Book Antiqua"/>
        </w:rPr>
        <w:t>Dylan has provided the soundtrack for my life, always playing in the background</w:t>
      </w:r>
      <w:r w:rsidR="00CC125A">
        <w:rPr>
          <w:rFonts w:ascii="Book Antiqua" w:hAnsi="Book Antiqua"/>
        </w:rPr>
        <w:t>,</w:t>
      </w:r>
      <w:r>
        <w:rPr>
          <w:rFonts w:ascii="Book Antiqua" w:hAnsi="Book Antiqua"/>
        </w:rPr>
        <w:t xml:space="preserve"> with not infrequ</w:t>
      </w:r>
      <w:r w:rsidR="00261A99">
        <w:rPr>
          <w:rFonts w:ascii="Book Antiqua" w:hAnsi="Book Antiqua"/>
        </w:rPr>
        <w:t>ent crescendos</w:t>
      </w:r>
      <w:r>
        <w:rPr>
          <w:rFonts w:ascii="Book Antiqua" w:hAnsi="Book Antiqua"/>
        </w:rPr>
        <w:t>.  This helps me to understand the constant presence of Goethe in Balthasar’s writing</w:t>
      </w:r>
      <w:r w:rsidR="008C75BE">
        <w:rPr>
          <w:rFonts w:ascii="Book Antiqua" w:hAnsi="Book Antiqua"/>
        </w:rPr>
        <w:t>, and the Romantic poetry, drama, and music so constitutive of Karol Wojtyla’s consciousness.</w:t>
      </w:r>
      <w:r w:rsidR="008C75BE">
        <w:rPr>
          <w:rStyle w:val="FootnoteReference"/>
          <w:rFonts w:ascii="Book Antiqua" w:hAnsi="Book Antiqua"/>
        </w:rPr>
        <w:footnoteReference w:id="85"/>
      </w:r>
      <w:r w:rsidR="00261A99">
        <w:rPr>
          <w:rFonts w:ascii="Book Antiqua" w:hAnsi="Book Antiqua"/>
        </w:rPr>
        <w:t xml:space="preserve">  Without someone aiding us in reaching to the depths, we are so prone to remain on the surface.</w:t>
      </w:r>
    </w:p>
    <w:p w:rsidR="00F13717" w:rsidRDefault="00261A99" w:rsidP="00E50BE2">
      <w:pPr>
        <w:tabs>
          <w:tab w:val="left" w:pos="0"/>
        </w:tabs>
        <w:spacing w:after="120"/>
        <w:ind w:firstLine="720"/>
        <w:rPr>
          <w:rFonts w:ascii="Book Antiqua" w:hAnsi="Book Antiqua"/>
        </w:rPr>
      </w:pPr>
      <w:r>
        <w:rPr>
          <w:rFonts w:ascii="Book Antiqua" w:hAnsi="Book Antiqua"/>
        </w:rPr>
        <w:t>And diving into those depths will often run counter to the social and cultural expectations surrounding us and invading us.  Thus, Berrigan’s burden in my life.  He shares rootedness in the Augustinian turn from scholastic conceptualism</w:t>
      </w:r>
      <w:r w:rsidR="006D4918">
        <w:rPr>
          <w:rFonts w:ascii="Book Antiqua" w:hAnsi="Book Antiqua"/>
        </w:rPr>
        <w:t>.</w:t>
      </w:r>
      <w:r>
        <w:rPr>
          <w:rFonts w:ascii="Book Antiqua" w:hAnsi="Book Antiqua"/>
        </w:rPr>
        <w:t xml:space="preserve">  As for nuptiality, his first prose book was entitled </w:t>
      </w:r>
      <w:r w:rsidRPr="00261A99">
        <w:rPr>
          <w:rFonts w:ascii="Book Antiqua" w:hAnsi="Book Antiqua"/>
          <w:i/>
        </w:rPr>
        <w:t>The Bride:  Essays in the Church</w:t>
      </w:r>
      <w:r>
        <w:rPr>
          <w:rStyle w:val="FootnoteReference"/>
          <w:rFonts w:ascii="Book Antiqua" w:hAnsi="Book Antiqua"/>
          <w:i/>
        </w:rPr>
        <w:footnoteReference w:id="86"/>
      </w:r>
      <w:r>
        <w:rPr>
          <w:rFonts w:ascii="Book Antiqua" w:hAnsi="Book Antiqua"/>
        </w:rPr>
        <w:t xml:space="preserve"> – and</w:t>
      </w:r>
      <w:r w:rsidR="00CC125A">
        <w:rPr>
          <w:rFonts w:ascii="Book Antiqua" w:hAnsi="Book Antiqua"/>
        </w:rPr>
        <w:t>,</w:t>
      </w:r>
      <w:r>
        <w:rPr>
          <w:rFonts w:ascii="Book Antiqua" w:hAnsi="Book Antiqua"/>
        </w:rPr>
        <w:t xml:space="preserve"> in typing that</w:t>
      </w:r>
      <w:r w:rsidR="00CC125A">
        <w:rPr>
          <w:rFonts w:ascii="Book Antiqua" w:hAnsi="Book Antiqua"/>
        </w:rPr>
        <w:t>,</w:t>
      </w:r>
      <w:r>
        <w:rPr>
          <w:rFonts w:ascii="Book Antiqua" w:hAnsi="Book Antiqua"/>
        </w:rPr>
        <w:t xml:space="preserve"> I notice for the first time the prepositional significance of the subtitle, not </w:t>
      </w:r>
      <w:r w:rsidRPr="00261A99">
        <w:rPr>
          <w:rFonts w:ascii="Book Antiqua" w:hAnsi="Book Antiqua"/>
          <w:i/>
        </w:rPr>
        <w:t>on</w:t>
      </w:r>
      <w:r>
        <w:rPr>
          <w:rFonts w:ascii="Book Antiqua" w:hAnsi="Book Antiqua"/>
        </w:rPr>
        <w:t xml:space="preserve"> the Church, but </w:t>
      </w:r>
      <w:r w:rsidRPr="00261A99">
        <w:rPr>
          <w:rFonts w:ascii="Book Antiqua" w:hAnsi="Book Antiqua"/>
          <w:i/>
        </w:rPr>
        <w:t>in</w:t>
      </w:r>
      <w:r>
        <w:rPr>
          <w:rFonts w:ascii="Book Antiqua" w:hAnsi="Book Antiqua"/>
        </w:rPr>
        <w:t xml:space="preserve"> the Church.</w:t>
      </w:r>
      <w:r w:rsidR="000E18C5">
        <w:rPr>
          <w:rFonts w:ascii="Book Antiqua" w:hAnsi="Book Antiqua"/>
        </w:rPr>
        <w:t xml:space="preserve">  He shares (indeed shares</w:t>
      </w:r>
      <w:r w:rsidR="00934076" w:rsidRPr="00934076">
        <w:rPr>
          <w:rFonts w:ascii="Book Antiqua" w:hAnsi="Book Antiqua"/>
          <w:i/>
          <w:vertAlign w:val="superscript"/>
        </w:rPr>
        <w:t>nth</w:t>
      </w:r>
      <w:r w:rsidR="000E18C5">
        <w:rPr>
          <w:rFonts w:ascii="Book Antiqua" w:hAnsi="Book Antiqua"/>
        </w:rPr>
        <w:t xml:space="preserve">) the hermeneutical suspicion of modernity so characteristic of Balthasar, Wojtyla, Ratzinger, Scola, and this entire new thrust of Catholic thinking.  And yet with such different </w:t>
      </w:r>
      <w:r w:rsidR="00E91FB5">
        <w:rPr>
          <w:rFonts w:ascii="Book Antiqua" w:hAnsi="Book Antiqua"/>
        </w:rPr>
        <w:t xml:space="preserve">(truth and) </w:t>
      </w:r>
      <w:r w:rsidR="000E18C5">
        <w:rPr>
          <w:rFonts w:ascii="Book Antiqua" w:hAnsi="Book Antiqua"/>
        </w:rPr>
        <w:t>consequences</w:t>
      </w:r>
      <w:r w:rsidR="00F702BB">
        <w:rPr>
          <w:rFonts w:ascii="Book Antiqua" w:hAnsi="Book Antiqua"/>
        </w:rPr>
        <w:t>.</w:t>
      </w:r>
      <w:r w:rsidR="000E18C5">
        <w:rPr>
          <w:rFonts w:ascii="Book Antiqua" w:hAnsi="Book Antiqua"/>
        </w:rPr>
        <w:t xml:space="preserve">  I think of Fr. Berrigan’s narration of the first prison visit he received from his Jesuit superior, who asked ‘What are you doing here, in prison?’  The spontaneous response:  ‘What are you doing, not in prison?’</w:t>
      </w:r>
      <w:r w:rsidR="00C14279">
        <w:rPr>
          <w:rStyle w:val="FootnoteReference"/>
          <w:rFonts w:ascii="Book Antiqua" w:hAnsi="Book Antiqua"/>
        </w:rPr>
        <w:footnoteReference w:id="87"/>
      </w:r>
      <w:r w:rsidR="000E18C5">
        <w:rPr>
          <w:rFonts w:ascii="Book Antiqua" w:hAnsi="Book Antiqua"/>
        </w:rPr>
        <w:t xml:space="preserve">  </w:t>
      </w:r>
    </w:p>
    <w:p w:rsidR="00F13717" w:rsidRDefault="00F13717" w:rsidP="00F13717">
      <w:pPr>
        <w:tabs>
          <w:tab w:val="left" w:pos="720"/>
        </w:tabs>
        <w:spacing w:after="120"/>
        <w:ind w:left="720"/>
        <w:contextualSpacing/>
        <w:rPr>
          <w:rFonts w:ascii="Book Antiqua" w:hAnsi="Book Antiqua"/>
          <w:sz w:val="20"/>
          <w:szCs w:val="20"/>
        </w:rPr>
      </w:pPr>
      <w:r>
        <w:rPr>
          <w:rFonts w:ascii="Book Antiqua" w:hAnsi="Book Antiqua"/>
          <w:sz w:val="20"/>
          <w:szCs w:val="20"/>
        </w:rPr>
        <w:tab/>
        <w:t xml:space="preserve">       O skunk raise</w:t>
      </w:r>
    </w:p>
    <w:p w:rsidR="00F13717" w:rsidRDefault="00F13717" w:rsidP="00F13717">
      <w:pPr>
        <w:tabs>
          <w:tab w:val="left" w:pos="720"/>
        </w:tabs>
        <w:spacing w:after="120"/>
        <w:ind w:left="720"/>
        <w:contextualSpacing/>
        <w:rPr>
          <w:rFonts w:ascii="Book Antiqua" w:hAnsi="Book Antiqua"/>
          <w:sz w:val="20"/>
          <w:szCs w:val="20"/>
        </w:rPr>
      </w:pPr>
      <w:r>
        <w:rPr>
          <w:rFonts w:ascii="Book Antiqua" w:hAnsi="Book Antiqua"/>
          <w:sz w:val="20"/>
          <w:szCs w:val="20"/>
        </w:rPr>
        <w:t>against lawnorder, your grandiose</w:t>
      </w:r>
    </w:p>
    <w:p w:rsidR="00F13717" w:rsidRPr="00F13717" w:rsidRDefault="00F13717" w:rsidP="00F13717">
      <w:pPr>
        <w:tabs>
          <w:tab w:val="left" w:pos="720"/>
        </w:tabs>
        <w:spacing w:after="120"/>
        <w:ind w:left="720"/>
        <w:rPr>
          <w:rFonts w:ascii="Book Antiqua" w:hAnsi="Book Antiqua"/>
          <w:sz w:val="20"/>
          <w:szCs w:val="20"/>
        </w:rPr>
      </w:pPr>
      <w:r>
        <w:rPr>
          <w:rFonts w:ascii="Book Antiqua" w:hAnsi="Book Antiqua"/>
          <w:sz w:val="20"/>
          <w:szCs w:val="20"/>
        </w:rPr>
        <w:t>geysering stinking NO!</w:t>
      </w:r>
      <w:r>
        <w:rPr>
          <w:rStyle w:val="FootnoteReference"/>
          <w:rFonts w:ascii="Book Antiqua" w:hAnsi="Book Antiqua"/>
          <w:sz w:val="20"/>
          <w:szCs w:val="20"/>
        </w:rPr>
        <w:footnoteReference w:id="88"/>
      </w:r>
    </w:p>
    <w:p w:rsidR="002D3D1D" w:rsidRDefault="009A15AE" w:rsidP="00F13717">
      <w:pPr>
        <w:tabs>
          <w:tab w:val="left" w:pos="0"/>
        </w:tabs>
        <w:spacing w:after="120"/>
        <w:rPr>
          <w:rFonts w:ascii="Book Antiqua" w:hAnsi="Book Antiqua"/>
        </w:rPr>
      </w:pPr>
      <w:r>
        <w:rPr>
          <w:rFonts w:ascii="Book Antiqua" w:hAnsi="Book Antiqua"/>
        </w:rPr>
        <w:t>But there is countering, and Countering.  The difference largely a matt</w:t>
      </w:r>
      <w:r w:rsidR="00B269D8">
        <w:rPr>
          <w:rFonts w:ascii="Book Antiqua" w:hAnsi="Book Antiqua"/>
        </w:rPr>
        <w:t xml:space="preserve">er of ‘paying up,’ in </w:t>
      </w:r>
    </w:p>
    <w:p w:rsidR="00261A99" w:rsidRDefault="00B269D8" w:rsidP="00F13717">
      <w:pPr>
        <w:tabs>
          <w:tab w:val="left" w:pos="0"/>
        </w:tabs>
        <w:spacing w:after="120"/>
        <w:rPr>
          <w:rFonts w:ascii="Book Antiqua" w:hAnsi="Book Antiqua"/>
        </w:rPr>
      </w:pPr>
      <w:r>
        <w:rPr>
          <w:rFonts w:ascii="Book Antiqua" w:hAnsi="Book Antiqua"/>
        </w:rPr>
        <w:lastRenderedPageBreak/>
        <w:t>Camus</w:t>
      </w:r>
      <w:r w:rsidR="009A15AE">
        <w:rPr>
          <w:rFonts w:ascii="Book Antiqua" w:hAnsi="Book Antiqua"/>
        </w:rPr>
        <w:t>’s felicitous phrase.  We must, accordingly</w:t>
      </w:r>
      <w:r w:rsidR="00F13717">
        <w:rPr>
          <w:rFonts w:ascii="Book Antiqua" w:hAnsi="Book Antiqua"/>
        </w:rPr>
        <w:t xml:space="preserve">, beware </w:t>
      </w:r>
      <w:r w:rsidR="000E18C5">
        <w:rPr>
          <w:rFonts w:ascii="Book Antiqua" w:hAnsi="Book Antiqua"/>
        </w:rPr>
        <w:t xml:space="preserve">a too comfortable countering – and I mean that primarily </w:t>
      </w:r>
      <w:r w:rsidR="00B565EE">
        <w:rPr>
          <w:rFonts w:ascii="Book Antiqua" w:hAnsi="Book Antiqua"/>
        </w:rPr>
        <w:t xml:space="preserve">for my own </w:t>
      </w:r>
      <w:r w:rsidR="0061450A">
        <w:rPr>
          <w:rFonts w:ascii="Book Antiqua" w:hAnsi="Book Antiqua"/>
        </w:rPr>
        <w:t xml:space="preserve">uneasy </w:t>
      </w:r>
      <w:r w:rsidR="00B565EE">
        <w:rPr>
          <w:rFonts w:ascii="Book Antiqua" w:hAnsi="Book Antiqua"/>
        </w:rPr>
        <w:t>reflection</w:t>
      </w:r>
      <w:r w:rsidR="000E18C5">
        <w:rPr>
          <w:rFonts w:ascii="Book Antiqua" w:hAnsi="Book Antiqua"/>
        </w:rPr>
        <w:t xml:space="preserve">, only secondarily </w:t>
      </w:r>
      <w:r w:rsidR="00B565EE">
        <w:rPr>
          <w:rFonts w:ascii="Book Antiqua" w:hAnsi="Book Antiqua"/>
        </w:rPr>
        <w:t>for yours</w:t>
      </w:r>
      <w:r w:rsidR="000E18C5">
        <w:rPr>
          <w:rFonts w:ascii="Book Antiqua" w:hAnsi="Book Antiqua"/>
        </w:rPr>
        <w:t>.</w:t>
      </w:r>
      <w:r w:rsidR="00F13717">
        <w:rPr>
          <w:rFonts w:ascii="Book Antiqua" w:hAnsi="Book Antiqua"/>
        </w:rPr>
        <w:t xml:space="preserve">  What is evoked in thought and feeling mus</w:t>
      </w:r>
      <w:r w:rsidR="004C215F">
        <w:rPr>
          <w:rFonts w:ascii="Book Antiqua" w:hAnsi="Book Antiqua"/>
        </w:rPr>
        <w:t xml:space="preserve">t </w:t>
      </w:r>
      <w:r w:rsidR="00634433">
        <w:rPr>
          <w:rFonts w:ascii="Book Antiqua" w:hAnsi="Book Antiqua"/>
        </w:rPr>
        <w:t xml:space="preserve">also </w:t>
      </w:r>
      <w:r w:rsidR="004C215F">
        <w:rPr>
          <w:rFonts w:ascii="Book Antiqua" w:hAnsi="Book Antiqua"/>
        </w:rPr>
        <w:t>be evoked in costly discipleship</w:t>
      </w:r>
      <w:r w:rsidR="00F13717">
        <w:rPr>
          <w:rFonts w:ascii="Book Antiqua" w:hAnsi="Book Antiqua"/>
        </w:rPr>
        <w:t>, or inauthenticity sets in, and our second state is worse than the first.  ‘Father Dan,’ as the G-men who hunted him down used to call him, paid up.  His ‘no’ worth hearing; yours and mine, not so much.</w:t>
      </w:r>
    </w:p>
    <w:p w:rsidR="00B269D8" w:rsidRDefault="00B269D8" w:rsidP="00F13717">
      <w:pPr>
        <w:tabs>
          <w:tab w:val="left" w:pos="0"/>
        </w:tabs>
        <w:spacing w:after="120"/>
        <w:rPr>
          <w:rFonts w:ascii="Book Antiqua" w:hAnsi="Book Antiqua"/>
        </w:rPr>
      </w:pPr>
      <w:r>
        <w:rPr>
          <w:rFonts w:ascii="Book Antiqua" w:hAnsi="Book Antiqua"/>
        </w:rPr>
        <w:tab/>
        <w:t xml:space="preserve">Still, yes, say ‘no’ – but to love?  However strange, ‘other’ you might find it.  There are wars, and rumors of wars, while your parishes pray for </w:t>
      </w:r>
      <w:r w:rsidRPr="00B269D8">
        <w:rPr>
          <w:rFonts w:ascii="Book Antiqua" w:hAnsi="Book Antiqua"/>
          <w:i/>
        </w:rPr>
        <w:t>our</w:t>
      </w:r>
      <w:r>
        <w:rPr>
          <w:rFonts w:ascii="Book Antiqua" w:hAnsi="Book Antiqua"/>
        </w:rPr>
        <w:t xml:space="preserve"> troops, often under </w:t>
      </w:r>
      <w:r w:rsidRPr="00B269D8">
        <w:rPr>
          <w:rFonts w:ascii="Book Antiqua" w:hAnsi="Book Antiqua"/>
          <w:i/>
        </w:rPr>
        <w:t>our</w:t>
      </w:r>
      <w:r>
        <w:rPr>
          <w:rFonts w:ascii="Book Antiqua" w:hAnsi="Book Antiqua"/>
        </w:rPr>
        <w:t xml:space="preserve"> flag, with, at best, generic prayers for </w:t>
      </w:r>
      <w:r w:rsidRPr="00B269D8">
        <w:rPr>
          <w:rFonts w:ascii="Book Antiqua" w:hAnsi="Book Antiqua"/>
          <w:i/>
        </w:rPr>
        <w:t>the</w:t>
      </w:r>
      <w:r>
        <w:rPr>
          <w:rFonts w:ascii="Book Antiqua" w:hAnsi="Book Antiqua"/>
        </w:rPr>
        <w:t xml:space="preserve"> victims of war, never for the victims maimed or killed</w:t>
      </w:r>
      <w:r w:rsidRPr="00B269D8">
        <w:rPr>
          <w:rFonts w:ascii="Book Antiqua" w:hAnsi="Book Antiqua"/>
          <w:i/>
        </w:rPr>
        <w:t xml:space="preserve"> by</w:t>
      </w:r>
      <w:r>
        <w:rPr>
          <w:rFonts w:ascii="Book Antiqua" w:hAnsi="Book Antiqua"/>
        </w:rPr>
        <w:t xml:space="preserve"> our troops.</w:t>
      </w:r>
      <w:r w:rsidR="003B6AF8">
        <w:rPr>
          <w:rFonts w:ascii="Book Antiqua" w:hAnsi="Book Antiqua"/>
        </w:rPr>
        <w:t xml:space="preserve">  </w:t>
      </w:r>
      <w:r>
        <w:rPr>
          <w:rFonts w:ascii="Book Antiqua" w:hAnsi="Book Antiqua"/>
        </w:rPr>
        <w:t xml:space="preserve">  </w:t>
      </w:r>
      <w:r w:rsidR="00BF5B12">
        <w:rPr>
          <w:rFonts w:ascii="Book Antiqua" w:hAnsi="Book Antiqua"/>
        </w:rPr>
        <w:t xml:space="preserve">And we have proferred for us as Catholic thinking the Will Rogers style militarism of George Weigel, who has never met an American war he didn’t like.  </w:t>
      </w:r>
      <w:r>
        <w:rPr>
          <w:rFonts w:ascii="Book Antiqua" w:hAnsi="Book Antiqua"/>
        </w:rPr>
        <w:t xml:space="preserve">We have rendered unto Caesar the right – because the wherewithal – to determine whether human history continues, or ends.  </w:t>
      </w:r>
      <w:r w:rsidR="00BF5B12">
        <w:rPr>
          <w:rFonts w:ascii="Book Antiqua" w:hAnsi="Book Antiqua"/>
        </w:rPr>
        <w:t>And this is met with</w:t>
      </w:r>
      <w:r w:rsidR="003B6AF8">
        <w:rPr>
          <w:rFonts w:ascii="Book Antiqua" w:hAnsi="Book Antiqua"/>
        </w:rPr>
        <w:t xml:space="preserve"> only </w:t>
      </w:r>
      <w:r w:rsidR="00BF5B12">
        <w:rPr>
          <w:rFonts w:ascii="Book Antiqua" w:hAnsi="Book Antiqua"/>
        </w:rPr>
        <w:t xml:space="preserve">a highly nuanced ecclesial ‘maybe.’  </w:t>
      </w:r>
      <w:r>
        <w:rPr>
          <w:rFonts w:ascii="Book Antiqua" w:hAnsi="Book Antiqua"/>
        </w:rPr>
        <w:t>It’s left to a marginalized Georgetown Jesuit to say, simply, “It’s a sin to build a nuclear weapon.”</w:t>
      </w:r>
      <w:r>
        <w:rPr>
          <w:rStyle w:val="FootnoteReference"/>
          <w:rFonts w:ascii="Book Antiqua" w:hAnsi="Book Antiqua"/>
        </w:rPr>
        <w:footnoteReference w:id="89"/>
      </w:r>
      <w:r w:rsidR="002D3D1D">
        <w:rPr>
          <w:rFonts w:ascii="Book Antiqua" w:hAnsi="Book Antiqua"/>
        </w:rPr>
        <w:t xml:space="preserve">  He has heard the plea of Camus:</w:t>
      </w:r>
    </w:p>
    <w:p w:rsidR="00B269D8" w:rsidRPr="00B269D8" w:rsidRDefault="00B269D8" w:rsidP="00B269D8">
      <w:pPr>
        <w:tabs>
          <w:tab w:val="left" w:pos="720"/>
        </w:tabs>
        <w:spacing w:after="120"/>
        <w:ind w:left="720" w:right="720"/>
        <w:rPr>
          <w:rFonts w:ascii="Book Antiqua" w:hAnsi="Book Antiqua"/>
          <w:sz w:val="20"/>
          <w:szCs w:val="20"/>
        </w:rPr>
      </w:pPr>
      <w:r>
        <w:rPr>
          <w:rFonts w:ascii="Book Antiqua" w:hAnsi="Book Antiqua"/>
          <w:sz w:val="20"/>
          <w:szCs w:val="20"/>
        </w:rPr>
        <w:t>What the world expects of Christians is that Christians should speak out loud and clear, and that they should voice their condemnation in such a way that never a doubt, never the slightest doubt, could rise in the heart of the simplest man.  That they should get away from abstraction and confront the blood-stained face history has taken on today.  The grouping we need is a grouping of men resolved to speak out clearly and to pay up personally.</w:t>
      </w:r>
      <w:r>
        <w:rPr>
          <w:rStyle w:val="FootnoteReference"/>
          <w:rFonts w:ascii="Book Antiqua" w:hAnsi="Book Antiqua"/>
          <w:sz w:val="20"/>
          <w:szCs w:val="20"/>
        </w:rPr>
        <w:footnoteReference w:id="90"/>
      </w:r>
    </w:p>
    <w:p w:rsidR="00CC125A" w:rsidRDefault="00B269D8" w:rsidP="00E50BE2">
      <w:pPr>
        <w:tabs>
          <w:tab w:val="left" w:pos="0"/>
        </w:tabs>
        <w:spacing w:after="120"/>
        <w:ind w:firstLine="720"/>
        <w:rPr>
          <w:rFonts w:ascii="Book Antiqua" w:hAnsi="Book Antiqua"/>
        </w:rPr>
      </w:pPr>
      <w:r>
        <w:rPr>
          <w:rFonts w:ascii="Book Antiqua" w:hAnsi="Book Antiqua"/>
        </w:rPr>
        <w:t xml:space="preserve">I don’t write as some go-along-to-get-along liberal, but rather in the </w:t>
      </w:r>
      <w:r w:rsidR="00F633CD">
        <w:rPr>
          <w:rFonts w:ascii="Book Antiqua" w:hAnsi="Book Antiqua"/>
        </w:rPr>
        <w:t xml:space="preserve">radical </w:t>
      </w:r>
      <w:r>
        <w:rPr>
          <w:rFonts w:ascii="Book Antiqua" w:hAnsi="Book Antiqua"/>
        </w:rPr>
        <w:t xml:space="preserve">hope that the Church would be </w:t>
      </w:r>
      <w:r w:rsidRPr="00B269D8">
        <w:rPr>
          <w:rFonts w:ascii="Book Antiqua" w:hAnsi="Book Antiqua"/>
          <w:i/>
        </w:rPr>
        <w:t>more</w:t>
      </w:r>
      <w:r>
        <w:rPr>
          <w:rFonts w:ascii="Book Antiqua" w:hAnsi="Book Antiqua"/>
        </w:rPr>
        <w:t xml:space="preserve"> of a skunk, quite utterly transposing the old notion of ‘the odor of sanctity.’  </w:t>
      </w:r>
    </w:p>
    <w:p w:rsidR="00664B18" w:rsidRDefault="00B269D8" w:rsidP="00E50BE2">
      <w:pPr>
        <w:tabs>
          <w:tab w:val="left" w:pos="0"/>
        </w:tabs>
        <w:spacing w:after="120"/>
        <w:ind w:firstLine="720"/>
        <w:rPr>
          <w:rFonts w:ascii="Book Antiqua" w:hAnsi="Book Antiqua"/>
        </w:rPr>
      </w:pPr>
      <w:r>
        <w:rPr>
          <w:rFonts w:ascii="Book Antiqua" w:hAnsi="Book Antiqua"/>
        </w:rPr>
        <w:t>Back to Eden</w:t>
      </w:r>
      <w:r w:rsidR="004945DC">
        <w:rPr>
          <w:rFonts w:ascii="Book Antiqua" w:hAnsi="Book Antiqua"/>
        </w:rPr>
        <w:t>, for example</w:t>
      </w:r>
      <w:r>
        <w:rPr>
          <w:rFonts w:ascii="Book Antiqua" w:hAnsi="Book Antiqua"/>
        </w:rPr>
        <w:t>, we’re in danger of despoiling the entire garden.</w:t>
      </w:r>
    </w:p>
    <w:p w:rsidR="00B269D8" w:rsidRDefault="00B269D8" w:rsidP="00B269D8">
      <w:pPr>
        <w:tabs>
          <w:tab w:val="left" w:pos="720"/>
        </w:tabs>
        <w:spacing w:after="120"/>
        <w:ind w:left="720" w:right="720"/>
        <w:contextualSpacing/>
        <w:rPr>
          <w:rFonts w:ascii="Book Antiqua" w:hAnsi="Book Antiqua"/>
          <w:sz w:val="20"/>
          <w:szCs w:val="20"/>
        </w:rPr>
      </w:pPr>
      <w:r>
        <w:rPr>
          <w:rFonts w:ascii="Book Antiqua" w:hAnsi="Book Antiqua"/>
          <w:sz w:val="20"/>
          <w:szCs w:val="20"/>
        </w:rPr>
        <w:t>Generations have trod, have trod, have trod;</w:t>
      </w:r>
    </w:p>
    <w:p w:rsidR="00B269D8" w:rsidRDefault="00B269D8" w:rsidP="00B269D8">
      <w:pPr>
        <w:tabs>
          <w:tab w:val="left" w:pos="720"/>
          <w:tab w:val="left" w:pos="1080"/>
        </w:tabs>
        <w:spacing w:after="120"/>
        <w:ind w:left="720" w:right="720"/>
        <w:contextualSpacing/>
        <w:rPr>
          <w:rFonts w:ascii="Book Antiqua" w:hAnsi="Book Antiqua"/>
          <w:sz w:val="20"/>
          <w:szCs w:val="20"/>
        </w:rPr>
      </w:pPr>
      <w:r>
        <w:rPr>
          <w:rFonts w:ascii="Book Antiqua" w:hAnsi="Book Antiqua"/>
          <w:sz w:val="20"/>
          <w:szCs w:val="20"/>
        </w:rPr>
        <w:tab/>
        <w:t>And all is seared with trade; bleared, smeared with toil;</w:t>
      </w:r>
    </w:p>
    <w:p w:rsidR="00B269D8" w:rsidRDefault="00B269D8" w:rsidP="00B269D8">
      <w:pPr>
        <w:tabs>
          <w:tab w:val="left" w:pos="720"/>
          <w:tab w:val="left" w:pos="1080"/>
        </w:tabs>
        <w:spacing w:after="120"/>
        <w:ind w:left="720" w:right="720"/>
        <w:contextualSpacing/>
        <w:rPr>
          <w:rFonts w:ascii="Book Antiqua" w:hAnsi="Book Antiqua"/>
          <w:sz w:val="20"/>
          <w:szCs w:val="20"/>
        </w:rPr>
      </w:pPr>
      <w:r>
        <w:rPr>
          <w:rFonts w:ascii="Book Antiqua" w:hAnsi="Book Antiqua"/>
          <w:sz w:val="20"/>
          <w:szCs w:val="20"/>
        </w:rPr>
        <w:tab/>
        <w:t>And wears man’s smudge and shares man’s smell:  the soil</w:t>
      </w:r>
    </w:p>
    <w:p w:rsidR="00B269D8" w:rsidRPr="00B269D8" w:rsidRDefault="00B269D8" w:rsidP="00B269D8">
      <w:pPr>
        <w:tabs>
          <w:tab w:val="left" w:pos="720"/>
        </w:tabs>
        <w:spacing w:after="120"/>
        <w:ind w:left="720" w:right="720"/>
        <w:rPr>
          <w:rFonts w:ascii="Book Antiqua" w:hAnsi="Book Antiqua"/>
          <w:sz w:val="20"/>
          <w:szCs w:val="20"/>
        </w:rPr>
      </w:pPr>
      <w:r>
        <w:rPr>
          <w:rFonts w:ascii="Book Antiqua" w:hAnsi="Book Antiqua"/>
          <w:sz w:val="20"/>
          <w:szCs w:val="20"/>
        </w:rPr>
        <w:t>Is bare now, nor can foot feel, being shod.</w:t>
      </w:r>
      <w:r>
        <w:rPr>
          <w:rStyle w:val="FootnoteReference"/>
          <w:rFonts w:ascii="Book Antiqua" w:hAnsi="Book Antiqua"/>
          <w:sz w:val="20"/>
          <w:szCs w:val="20"/>
        </w:rPr>
        <w:footnoteReference w:id="91"/>
      </w:r>
    </w:p>
    <w:p w:rsidR="00C91E87" w:rsidRDefault="00B269D8" w:rsidP="00B269D8">
      <w:pPr>
        <w:tabs>
          <w:tab w:val="left" w:pos="0"/>
        </w:tabs>
        <w:spacing w:after="120"/>
        <w:rPr>
          <w:rFonts w:ascii="Book Antiqua" w:hAnsi="Book Antiqua"/>
        </w:rPr>
      </w:pPr>
      <w:r>
        <w:rPr>
          <w:rFonts w:ascii="Book Antiqua" w:hAnsi="Book Antiqua"/>
        </w:rPr>
        <w:t>Yet what we find to be unnatural is the ‘wrong’ kind of love?</w:t>
      </w:r>
      <w:r w:rsidR="00986F93">
        <w:rPr>
          <w:rFonts w:ascii="Book Antiqua" w:hAnsi="Book Antiqua"/>
        </w:rPr>
        <w:t xml:space="preserve">  Is it not more unnatural that we are threatening to put an end to the very nature of nature</w:t>
      </w:r>
      <w:r w:rsidR="0021176A">
        <w:rPr>
          <w:rFonts w:ascii="Book Antiqua" w:hAnsi="Book Antiqua"/>
        </w:rPr>
        <w:t xml:space="preserve"> itself</w:t>
      </w:r>
      <w:r w:rsidR="00986F93">
        <w:rPr>
          <w:rFonts w:ascii="Book Antiqua" w:hAnsi="Book Antiqua"/>
        </w:rPr>
        <w:t>?</w:t>
      </w:r>
      <w:r w:rsidR="00986F93">
        <w:rPr>
          <w:rStyle w:val="FootnoteReference"/>
          <w:rFonts w:ascii="Book Antiqua" w:hAnsi="Book Antiqua"/>
        </w:rPr>
        <w:footnoteReference w:id="92"/>
      </w:r>
    </w:p>
    <w:p w:rsidR="00CC125A" w:rsidRDefault="00CC125A" w:rsidP="00B269D8">
      <w:pPr>
        <w:tabs>
          <w:tab w:val="left" w:pos="0"/>
        </w:tabs>
        <w:spacing w:after="120"/>
        <w:rPr>
          <w:rFonts w:ascii="Book Antiqua" w:hAnsi="Book Antiqua"/>
        </w:rPr>
      </w:pPr>
      <w:r>
        <w:rPr>
          <w:rFonts w:ascii="Book Antiqua" w:hAnsi="Book Antiqua"/>
        </w:rPr>
        <w:lastRenderedPageBreak/>
        <w:tab/>
        <w:t xml:space="preserve">If I seem to have digressed, it is only to return to </w:t>
      </w:r>
      <w:r w:rsidRPr="00CC125A">
        <w:rPr>
          <w:rFonts w:ascii="Book Antiqua" w:hAnsi="Book Antiqua"/>
          <w:i/>
        </w:rPr>
        <w:t>The Nuptial Mystery</w:t>
      </w:r>
      <w:r>
        <w:rPr>
          <w:rFonts w:ascii="Book Antiqua" w:hAnsi="Book Antiqua"/>
        </w:rPr>
        <w:t xml:space="preserve"> able more clearly to meet the issue of the ‘natural’ order head-on.</w:t>
      </w:r>
    </w:p>
    <w:p w:rsidR="007749E5" w:rsidRDefault="007749E5" w:rsidP="00B269D8">
      <w:pPr>
        <w:tabs>
          <w:tab w:val="left" w:pos="0"/>
        </w:tabs>
        <w:spacing w:after="120"/>
        <w:rPr>
          <w:rFonts w:ascii="Book Antiqua" w:hAnsi="Book Antiqua"/>
        </w:rPr>
      </w:pPr>
      <w:r>
        <w:rPr>
          <w:rFonts w:ascii="Book Antiqua" w:hAnsi="Book Antiqua"/>
        </w:rPr>
        <w:tab/>
        <w:t>Nuptial theology seems to unfold in three steps:  (i) an insistence that natural reality ca</w:t>
      </w:r>
      <w:r w:rsidR="00A75273">
        <w:rPr>
          <w:rFonts w:ascii="Book Antiqua" w:hAnsi="Book Antiqua"/>
        </w:rPr>
        <w:t xml:space="preserve">n be understood only </w:t>
      </w:r>
      <w:r>
        <w:rPr>
          <w:rFonts w:ascii="Book Antiqua" w:hAnsi="Book Antiqua"/>
        </w:rPr>
        <w:t xml:space="preserve">in terms of that reality’s </w:t>
      </w:r>
      <w:r w:rsidR="00713E79">
        <w:rPr>
          <w:rFonts w:ascii="Book Antiqua" w:hAnsi="Book Antiqua"/>
        </w:rPr>
        <w:t>elucidation by</w:t>
      </w:r>
      <w:r>
        <w:rPr>
          <w:rFonts w:ascii="Book Antiqua" w:hAnsi="Book Antiqua"/>
        </w:rPr>
        <w:t xml:space="preserve"> Mystery; (ii) </w:t>
      </w:r>
      <w:r w:rsidR="00821E39">
        <w:rPr>
          <w:rFonts w:ascii="Book Antiqua" w:hAnsi="Book Antiqua"/>
        </w:rPr>
        <w:t xml:space="preserve">authoritative </w:t>
      </w:r>
      <w:r>
        <w:rPr>
          <w:rFonts w:ascii="Book Antiqua" w:hAnsi="Book Antiqua"/>
        </w:rPr>
        <w:t>specification of the content of Mystery; and (iii) application of that Mystery-content to interpretation of natural reality.</w:t>
      </w:r>
      <w:r w:rsidR="00476D5D">
        <w:rPr>
          <w:rFonts w:ascii="Book Antiqua" w:hAnsi="Book Antiqua"/>
        </w:rPr>
        <w:t xml:space="preserve">  One of the disadvantages, I suspect, of reading this particular book is that it is a collection of essays, not an original, intentional whole.  Yet that provides an advantage, as well, because the three-fold pattern I just mentioned is something that I understand to recur over and over again throughout the book, making it more probable, in my judgment, that this is the underlying method.</w:t>
      </w:r>
    </w:p>
    <w:p w:rsidR="008146CE" w:rsidRDefault="00A75273" w:rsidP="00B269D8">
      <w:pPr>
        <w:tabs>
          <w:tab w:val="left" w:pos="0"/>
        </w:tabs>
        <w:spacing w:after="120"/>
        <w:rPr>
          <w:rFonts w:ascii="Book Antiqua" w:hAnsi="Book Antiqua"/>
        </w:rPr>
      </w:pPr>
      <w:r>
        <w:rPr>
          <w:rFonts w:ascii="Book Antiqua" w:hAnsi="Book Antiqua"/>
        </w:rPr>
        <w:tab/>
        <w:t xml:space="preserve">Cardinal Scola cites Balthasar’s insistence that sexuality is “insoluble </w:t>
      </w:r>
      <w:r w:rsidRPr="00A75273">
        <w:rPr>
          <w:rFonts w:ascii="Book Antiqua" w:hAnsi="Book Antiqua"/>
          <w:i/>
        </w:rPr>
        <w:t>in naturalibus</w:t>
      </w:r>
      <w:r>
        <w:rPr>
          <w:rFonts w:ascii="Book Antiqua" w:hAnsi="Book Antiqua"/>
        </w:rPr>
        <w:t>.”</w:t>
      </w:r>
      <w:r>
        <w:rPr>
          <w:rStyle w:val="FootnoteReference"/>
          <w:rFonts w:ascii="Book Antiqua" w:hAnsi="Book Antiqua"/>
        </w:rPr>
        <w:footnoteReference w:id="93"/>
      </w:r>
      <w:r>
        <w:rPr>
          <w:rFonts w:ascii="Book Antiqua" w:hAnsi="Book Antiqua"/>
        </w:rPr>
        <w:t xml:space="preserve">  Without reference to the nuptial mystery, human sexuality cannot be differentiated from animal</w:t>
      </w:r>
      <w:r w:rsidR="007F1D11">
        <w:rPr>
          <w:rFonts w:ascii="Book Antiqua" w:hAnsi="Book Antiqua"/>
        </w:rPr>
        <w:t xml:space="preserve"> sexuality;</w:t>
      </w:r>
      <w:r>
        <w:rPr>
          <w:rStyle w:val="FootnoteReference"/>
          <w:rFonts w:ascii="Book Antiqua" w:hAnsi="Book Antiqua"/>
        </w:rPr>
        <w:footnoteReference w:id="94"/>
      </w:r>
      <w:r>
        <w:rPr>
          <w:rFonts w:ascii="Book Antiqua" w:hAnsi="Book Antiqua"/>
        </w:rPr>
        <w:t xml:space="preserve"> it becomes trivialized,</w:t>
      </w:r>
      <w:r>
        <w:rPr>
          <w:rStyle w:val="FootnoteReference"/>
          <w:rFonts w:ascii="Book Antiqua" w:hAnsi="Book Antiqua"/>
        </w:rPr>
        <w:footnoteReference w:id="95"/>
      </w:r>
      <w:r>
        <w:rPr>
          <w:rFonts w:ascii="Book Antiqua" w:hAnsi="Book Antiqua"/>
        </w:rPr>
        <w:t xml:space="preserve"> </w:t>
      </w:r>
      <w:r w:rsidR="007F1D11">
        <w:rPr>
          <w:rFonts w:ascii="Book Antiqua" w:hAnsi="Book Antiqua"/>
        </w:rPr>
        <w:t>subject to banalization,</w:t>
      </w:r>
      <w:r w:rsidR="007F1D11">
        <w:rPr>
          <w:rStyle w:val="FootnoteReference"/>
          <w:rFonts w:ascii="Book Antiqua" w:hAnsi="Book Antiqua"/>
        </w:rPr>
        <w:footnoteReference w:id="96"/>
      </w:r>
      <w:r w:rsidR="007F1D11">
        <w:rPr>
          <w:rFonts w:ascii="Book Antiqua" w:hAnsi="Book Antiqua"/>
        </w:rPr>
        <w:t xml:space="preserve"> “condemned to the intracosmic.</w:t>
      </w:r>
      <w:r>
        <w:rPr>
          <w:rFonts w:ascii="Book Antiqua" w:hAnsi="Book Antiqua"/>
        </w:rPr>
        <w:t>”</w:t>
      </w:r>
      <w:r>
        <w:rPr>
          <w:rStyle w:val="FootnoteReference"/>
          <w:rFonts w:ascii="Book Antiqua" w:hAnsi="Book Antiqua"/>
        </w:rPr>
        <w:footnoteReference w:id="97"/>
      </w:r>
      <w:r w:rsidR="007F1D11">
        <w:rPr>
          <w:rFonts w:ascii="Book Antiqua" w:hAnsi="Book Antiqua"/>
        </w:rPr>
        <w:t xml:space="preserve">  Broad cultural calamity necessarily ensues, as the “contemporary world’s dominant mentality” renders human sexuality meaningless.  In the 1990s, the entire “frame of reference of the c</w:t>
      </w:r>
      <w:r w:rsidR="008F397A">
        <w:rPr>
          <w:rFonts w:ascii="Book Antiqua" w:hAnsi="Book Antiqua"/>
        </w:rPr>
        <w:t>ultural sensibility” eroded, due</w:t>
      </w:r>
      <w:r w:rsidR="007F1D11">
        <w:rPr>
          <w:rFonts w:ascii="Book Antiqua" w:hAnsi="Book Antiqua"/>
        </w:rPr>
        <w:t xml:space="preserve"> to “the separation </w:t>
      </w:r>
      <w:r w:rsidR="00C17D11">
        <w:rPr>
          <w:rFonts w:ascii="Book Antiqua" w:hAnsi="Book Antiqua"/>
        </w:rPr>
        <w:t>of</w:t>
      </w:r>
      <w:r w:rsidR="007F1D11">
        <w:rPr>
          <w:rFonts w:ascii="Book Antiqua" w:hAnsi="Book Antiqua"/>
        </w:rPr>
        <w:t xml:space="preserve"> ethics from larger questions of meaning” and a “growing perception of the irrelevance of the moral magisterium.”</w:t>
      </w:r>
      <w:r w:rsidR="00C17D11">
        <w:rPr>
          <w:rFonts w:ascii="Book Antiqua" w:hAnsi="Book Antiqua"/>
        </w:rPr>
        <w:t xml:space="preserve">  In the new millennium, there ensued an even more radical change of mentality, “an anthropological mutation,” in which “primary relations” have “completely changed,” in large part because of “the pretended abolition of difference” – androgyny.</w:t>
      </w:r>
      <w:r w:rsidR="00C17D11">
        <w:rPr>
          <w:rStyle w:val="FootnoteReference"/>
          <w:rFonts w:ascii="Book Antiqua" w:hAnsi="Book Antiqua"/>
        </w:rPr>
        <w:footnoteReference w:id="98"/>
      </w:r>
      <w:r w:rsidR="00C17D11">
        <w:rPr>
          <w:rFonts w:ascii="Book Antiqua" w:hAnsi="Book Antiqua"/>
        </w:rPr>
        <w:t xml:space="preserve">  This is all due to the fact that “a culture that does not accept the revelation of the trinitarian God ultimately renders itself incapable of understanding sexual difference in a positive sense.”  It is not surprising, therefore, that “the open acceptance of homosexuality belong[s] both to classical paganism and to the paganism of the present day.”</w:t>
      </w:r>
      <w:r w:rsidR="00C17D11">
        <w:rPr>
          <w:rStyle w:val="FootnoteReference"/>
          <w:rFonts w:ascii="Book Antiqua" w:hAnsi="Book Antiqua"/>
        </w:rPr>
        <w:footnoteReference w:id="99"/>
      </w:r>
      <w:r w:rsidR="00C46AF5">
        <w:rPr>
          <w:rFonts w:ascii="Book Antiqua" w:hAnsi="Book Antiqua"/>
        </w:rPr>
        <w:t xml:space="preserve">  Without the light of nuptiality, as shines forth from the Mystery elucidated by Pope John Paul, there is only a “merry nihilism,”</w:t>
      </w:r>
      <w:r w:rsidR="00C46AF5">
        <w:rPr>
          <w:rStyle w:val="FootnoteReference"/>
          <w:rFonts w:ascii="Book Antiqua" w:hAnsi="Book Antiqua"/>
        </w:rPr>
        <w:footnoteReference w:id="100"/>
      </w:r>
      <w:r w:rsidR="00C46AF5">
        <w:rPr>
          <w:rFonts w:ascii="Book Antiqua" w:hAnsi="Book Antiqua"/>
        </w:rPr>
        <w:t xml:space="preserve"> a “gay nihilism</w:t>
      </w:r>
      <w:r w:rsidR="008A1F4E">
        <w:rPr>
          <w:rFonts w:ascii="Book Antiqua" w:hAnsi="Book Antiqua"/>
        </w:rPr>
        <w:t xml:space="preserve">,” </w:t>
      </w:r>
      <w:r w:rsidR="00C46AF5">
        <w:rPr>
          <w:rFonts w:ascii="Book Antiqua" w:hAnsi="Book Antiqua"/>
        </w:rPr>
        <w:t>which</w:t>
      </w:r>
      <w:r w:rsidR="008A1F4E">
        <w:rPr>
          <w:rFonts w:ascii="Book Antiqua" w:hAnsi="Book Antiqua"/>
        </w:rPr>
        <w:t>:  (a)</w:t>
      </w:r>
      <w:r w:rsidR="00C46AF5">
        <w:rPr>
          <w:rFonts w:ascii="Book Antiqua" w:hAnsi="Book Antiqua"/>
        </w:rPr>
        <w:t xml:space="preserve"> “has its </w:t>
      </w:r>
      <w:r w:rsidR="00394A31">
        <w:rPr>
          <w:rFonts w:ascii="Book Antiqua" w:hAnsi="Book Antiqua"/>
        </w:rPr>
        <w:t>s</w:t>
      </w:r>
      <w:r w:rsidR="008A1F4E">
        <w:rPr>
          <w:rFonts w:ascii="Book Antiqua" w:hAnsi="Book Antiqua"/>
        </w:rPr>
        <w:t xml:space="preserve">ymbol in homosexuality;” (b) </w:t>
      </w:r>
      <w:r w:rsidR="00C46AF5">
        <w:rPr>
          <w:rFonts w:ascii="Book Antiqua" w:hAnsi="Book Antiqua"/>
        </w:rPr>
        <w:t>seeks only “a sequence of superficial enjoyments with the intention of eliminating drama from the h</w:t>
      </w:r>
      <w:r w:rsidR="008A1F4E">
        <w:rPr>
          <w:rFonts w:ascii="Book Antiqua" w:hAnsi="Book Antiqua"/>
        </w:rPr>
        <w:t xml:space="preserve">eart of man;” and (c) </w:t>
      </w:r>
      <w:r w:rsidR="00C46AF5">
        <w:rPr>
          <w:rFonts w:ascii="Book Antiqua" w:hAnsi="Book Antiqua"/>
        </w:rPr>
        <w:t>understands “love as merely a prolongation of the self.”</w:t>
      </w:r>
      <w:r w:rsidR="00C46AF5">
        <w:rPr>
          <w:rStyle w:val="FootnoteReference"/>
          <w:rFonts w:ascii="Book Antiqua" w:hAnsi="Book Antiqua"/>
        </w:rPr>
        <w:footnoteReference w:id="101"/>
      </w:r>
      <w:r w:rsidR="00394A31">
        <w:rPr>
          <w:rFonts w:ascii="Book Antiqua" w:hAnsi="Book Antiqua"/>
        </w:rPr>
        <w:t xml:space="preserve">  Related to this, and underlying it, is the tendency to speak</w:t>
      </w:r>
      <w:r w:rsidR="008146CE">
        <w:rPr>
          <w:rFonts w:ascii="Book Antiqua" w:hAnsi="Book Antiqua"/>
        </w:rPr>
        <w:t xml:space="preserve">, </w:t>
      </w:r>
      <w:r w:rsidR="00394A31">
        <w:rPr>
          <w:rFonts w:ascii="Book Antiqua" w:hAnsi="Book Antiqua"/>
        </w:rPr>
        <w:t>not of nuptiality, but of ‘gender’ as a cultural construct; this leads “to nullifying the weight of physiological evidence that establishes differences between masculinity and femininity.”</w:t>
      </w:r>
      <w:r w:rsidR="00394A31">
        <w:rPr>
          <w:rStyle w:val="FootnoteReference"/>
          <w:rFonts w:ascii="Book Antiqua" w:hAnsi="Book Antiqua"/>
        </w:rPr>
        <w:footnoteReference w:id="102"/>
      </w:r>
      <w:r w:rsidR="00380463">
        <w:rPr>
          <w:rFonts w:ascii="Book Antiqua" w:hAnsi="Book Antiqua"/>
        </w:rPr>
        <w:t xml:space="preserve">  </w:t>
      </w:r>
      <w:r w:rsidR="008146CE">
        <w:rPr>
          <w:rFonts w:ascii="Book Antiqua" w:hAnsi="Book Antiqua"/>
        </w:rPr>
        <w:t xml:space="preserve">Yet this “physiological evidence” is not apparent to “the biological, psychological, and social </w:t>
      </w:r>
      <w:r w:rsidR="008146CE">
        <w:rPr>
          <w:rFonts w:ascii="Book Antiqua" w:hAnsi="Book Antiqua"/>
        </w:rPr>
        <w:lastRenderedPageBreak/>
        <w:t>sciences,”</w:t>
      </w:r>
      <w:r w:rsidR="008146CE">
        <w:rPr>
          <w:rStyle w:val="FootnoteReference"/>
          <w:rFonts w:ascii="Book Antiqua" w:hAnsi="Book Antiqua"/>
        </w:rPr>
        <w:footnoteReference w:id="103"/>
      </w:r>
      <w:r w:rsidR="008146CE">
        <w:rPr>
          <w:rFonts w:ascii="Book Antiqua" w:hAnsi="Book Antiqua"/>
        </w:rPr>
        <w:t xml:space="preserve"> but only through “anthropological discourse. . . carried out in an integral</w:t>
      </w:r>
      <w:r w:rsidR="004F4E64">
        <w:rPr>
          <w:rFonts w:ascii="Book Antiqua" w:hAnsi="Book Antiqua"/>
        </w:rPr>
        <w:t xml:space="preserve"> </w:t>
      </w:r>
      <w:r w:rsidR="008146CE">
        <w:rPr>
          <w:rFonts w:ascii="Book Antiqua" w:hAnsi="Book Antiqua"/>
        </w:rPr>
        <w:t>fashion,”</w:t>
      </w:r>
      <w:r w:rsidR="008146CE">
        <w:rPr>
          <w:rStyle w:val="FootnoteReference"/>
          <w:rFonts w:ascii="Book Antiqua" w:hAnsi="Book Antiqua"/>
        </w:rPr>
        <w:footnoteReference w:id="104"/>
      </w:r>
      <w:r w:rsidR="008146CE">
        <w:rPr>
          <w:rFonts w:ascii="Book Antiqua" w:hAnsi="Book Antiqua"/>
        </w:rPr>
        <w:t xml:space="preserve"> i.e., through “phenomenological and ontological” analyses.</w:t>
      </w:r>
      <w:r w:rsidR="008146CE">
        <w:rPr>
          <w:rStyle w:val="FootnoteReference"/>
          <w:rFonts w:ascii="Book Antiqua" w:hAnsi="Book Antiqua"/>
        </w:rPr>
        <w:footnoteReference w:id="105"/>
      </w:r>
      <w:r w:rsidR="00460C2C">
        <w:rPr>
          <w:rFonts w:ascii="Book Antiqua" w:hAnsi="Book Antiqua"/>
        </w:rPr>
        <w:t xml:space="preserve">  In short, “it is impossible to understand historical man without rooting him in his revealed theological prehistory,”</w:t>
      </w:r>
      <w:r w:rsidR="00460C2C">
        <w:rPr>
          <w:rStyle w:val="FootnoteReference"/>
          <w:rFonts w:ascii="Book Antiqua" w:hAnsi="Book Antiqua"/>
        </w:rPr>
        <w:footnoteReference w:id="106"/>
      </w:r>
      <w:r w:rsidR="00460C2C">
        <w:rPr>
          <w:rFonts w:ascii="Book Antiqua" w:hAnsi="Book Antiqua"/>
        </w:rPr>
        <w:t xml:space="preserve">  and failure to do so has led to the collapse, not simply of ‘primary relations,’ but of the entire cultural matrices in which those relations are lived.</w:t>
      </w:r>
      <w:r w:rsidR="00391A9A">
        <w:rPr>
          <w:rFonts w:ascii="Book Antiqua" w:hAnsi="Book Antiqua"/>
        </w:rPr>
        <w:t xml:space="preserve">  Such are the “macroscopic historical-cultural quandaries in which we live.”</w:t>
      </w:r>
      <w:r w:rsidR="00391A9A">
        <w:rPr>
          <w:rStyle w:val="FootnoteReference"/>
          <w:rFonts w:ascii="Book Antiqua" w:hAnsi="Book Antiqua"/>
        </w:rPr>
        <w:footnoteReference w:id="107"/>
      </w:r>
    </w:p>
    <w:p w:rsidR="003936A0" w:rsidRDefault="00391A9A" w:rsidP="00B269D8">
      <w:pPr>
        <w:tabs>
          <w:tab w:val="left" w:pos="0"/>
        </w:tabs>
        <w:spacing w:after="120"/>
        <w:rPr>
          <w:rFonts w:ascii="Book Antiqua" w:hAnsi="Book Antiqua"/>
        </w:rPr>
      </w:pPr>
      <w:r>
        <w:rPr>
          <w:rFonts w:ascii="Book Antiqua" w:hAnsi="Book Antiqua"/>
        </w:rPr>
        <w:tab/>
        <w:t>Seeking a way beyond those quandaries, t</w:t>
      </w:r>
      <w:r w:rsidR="003936A0">
        <w:rPr>
          <w:rFonts w:ascii="Book Antiqua" w:hAnsi="Book Antiqua"/>
        </w:rPr>
        <w:t>he next methodological step begins with Barth’s observation that “spousal categories are the least inadequate for stammering a few words about the ineffable life of the Infinite.”</w:t>
      </w:r>
      <w:r w:rsidR="003936A0">
        <w:rPr>
          <w:rStyle w:val="FootnoteReference"/>
          <w:rFonts w:ascii="Book Antiqua" w:hAnsi="Book Antiqua"/>
        </w:rPr>
        <w:footnoteReference w:id="108"/>
      </w:r>
      <w:r>
        <w:rPr>
          <w:rFonts w:ascii="Book Antiqua" w:hAnsi="Book Antiqua"/>
        </w:rPr>
        <w:t xml:space="preserve">  Sexual differentiation is “the necessary starting point,” the mystery’s “horizontal dimension.”</w:t>
      </w:r>
      <w:r w:rsidR="002230CB">
        <w:rPr>
          <w:rFonts w:ascii="Book Antiqua" w:hAnsi="Book Antiqua"/>
        </w:rPr>
        <w:t xml:space="preserve"> </w:t>
      </w:r>
      <w:r>
        <w:rPr>
          <w:rFonts w:ascii="Book Antiqua" w:hAnsi="Book Antiqua"/>
        </w:rPr>
        <w:t xml:space="preserve">Three factors constitute the nuptial mystery: </w:t>
      </w:r>
      <w:r w:rsidR="003D52D2">
        <w:rPr>
          <w:rFonts w:ascii="Book Antiqua" w:hAnsi="Book Antiqua"/>
        </w:rPr>
        <w:t xml:space="preserve">    </w:t>
      </w:r>
      <w:r>
        <w:rPr>
          <w:rFonts w:ascii="Book Antiqua" w:hAnsi="Book Antiqua"/>
        </w:rPr>
        <w:t xml:space="preserve"> </w:t>
      </w:r>
      <w:r w:rsidR="003D52D2">
        <w:rPr>
          <w:rFonts w:ascii="Book Antiqua" w:hAnsi="Book Antiqua"/>
        </w:rPr>
        <w:t xml:space="preserve">(i) </w:t>
      </w:r>
      <w:r>
        <w:rPr>
          <w:rFonts w:ascii="Book Antiqua" w:hAnsi="Book Antiqua"/>
        </w:rPr>
        <w:t>difference</w:t>
      </w:r>
      <w:r w:rsidR="003D52D2">
        <w:rPr>
          <w:rFonts w:ascii="Book Antiqua" w:hAnsi="Book Antiqua"/>
        </w:rPr>
        <w:t>;</w:t>
      </w:r>
      <w:r>
        <w:rPr>
          <w:rFonts w:ascii="Book Antiqua" w:hAnsi="Book Antiqua"/>
        </w:rPr>
        <w:t xml:space="preserve"> </w:t>
      </w:r>
      <w:r w:rsidR="003D52D2">
        <w:rPr>
          <w:rFonts w:ascii="Book Antiqua" w:hAnsi="Book Antiqua"/>
        </w:rPr>
        <w:t xml:space="preserve">(ii) </w:t>
      </w:r>
      <w:r>
        <w:rPr>
          <w:rFonts w:ascii="Book Antiqua" w:hAnsi="Book Antiqua"/>
        </w:rPr>
        <w:t>love as gift</w:t>
      </w:r>
      <w:r w:rsidR="003D52D2">
        <w:rPr>
          <w:rFonts w:ascii="Book Antiqua" w:hAnsi="Book Antiqua"/>
        </w:rPr>
        <w:t>;</w:t>
      </w:r>
      <w:r>
        <w:rPr>
          <w:rFonts w:ascii="Book Antiqua" w:hAnsi="Book Antiqua"/>
        </w:rPr>
        <w:t xml:space="preserve"> and </w:t>
      </w:r>
      <w:r w:rsidR="003D52D2">
        <w:rPr>
          <w:rFonts w:ascii="Book Antiqua" w:hAnsi="Book Antiqua"/>
        </w:rPr>
        <w:t xml:space="preserve">(iii) </w:t>
      </w:r>
      <w:r>
        <w:rPr>
          <w:rFonts w:ascii="Book Antiqua" w:hAnsi="Book Antiqua"/>
        </w:rPr>
        <w:t>fruitfulness.</w:t>
      </w:r>
      <w:r w:rsidR="002230CB">
        <w:rPr>
          <w:rStyle w:val="FootnoteReference"/>
          <w:rFonts w:ascii="Book Antiqua" w:hAnsi="Book Antiqua"/>
        </w:rPr>
        <w:footnoteReference w:id="109"/>
      </w:r>
      <w:r w:rsidR="002230CB">
        <w:rPr>
          <w:rFonts w:ascii="Book Antiqua" w:hAnsi="Book Antiqua"/>
        </w:rPr>
        <w:t xml:space="preserve">  Three, too, are the theological manifestations of nuptiality</w:t>
      </w:r>
      <w:r w:rsidR="003D52D2">
        <w:rPr>
          <w:rFonts w:ascii="Book Antiqua" w:hAnsi="Book Antiqua"/>
        </w:rPr>
        <w:t>:  (i) the nuptial union of Christ and His Church; (ii) the nuptial union of divine and human natures in Christ; and (iii) the nuptial dimension within the Trinity.</w:t>
      </w:r>
      <w:r w:rsidR="003D52D2">
        <w:rPr>
          <w:rStyle w:val="FootnoteReference"/>
          <w:rFonts w:ascii="Book Antiqua" w:hAnsi="Book Antiqua"/>
        </w:rPr>
        <w:footnoteReference w:id="110"/>
      </w:r>
      <w:r w:rsidR="00777BEC">
        <w:rPr>
          <w:rFonts w:ascii="Book Antiqua" w:hAnsi="Book Antiqua"/>
        </w:rPr>
        <w:t xml:space="preserve">  The union of Christ/Church is “</w:t>
      </w:r>
      <w:r w:rsidR="00912912">
        <w:rPr>
          <w:rFonts w:ascii="Book Antiqua" w:hAnsi="Book Antiqua"/>
        </w:rPr>
        <w:t>the original pair,” the “Archety</w:t>
      </w:r>
      <w:r w:rsidR="00777BEC">
        <w:rPr>
          <w:rFonts w:ascii="Book Antiqua" w:hAnsi="Book Antiqua"/>
        </w:rPr>
        <w:t>pe,” with the man/woman union derived from it.</w:t>
      </w:r>
      <w:r w:rsidR="00777BEC">
        <w:rPr>
          <w:rStyle w:val="FootnoteReference"/>
          <w:rFonts w:ascii="Book Antiqua" w:hAnsi="Book Antiqua"/>
        </w:rPr>
        <w:footnoteReference w:id="111"/>
      </w:r>
      <w:r w:rsidR="00912912">
        <w:rPr>
          <w:rFonts w:ascii="Book Antiqua" w:hAnsi="Book Antiqua"/>
        </w:rPr>
        <w:t xml:space="preserve">  Little is said of the spousal nature of the hypostatic union, except for acknowledgment that assertion of this mystery “begs for further clarification.”</w:t>
      </w:r>
      <w:r w:rsidR="00912912">
        <w:rPr>
          <w:rStyle w:val="FootnoteReference"/>
          <w:rFonts w:ascii="Book Antiqua" w:hAnsi="Book Antiqua"/>
        </w:rPr>
        <w:footnoteReference w:id="112"/>
      </w:r>
      <w:r w:rsidR="00CA5179">
        <w:rPr>
          <w:rFonts w:ascii="Book Antiqua" w:hAnsi="Book Antiqua"/>
        </w:rPr>
        <w:t xml:space="preserve">  </w:t>
      </w:r>
      <w:r w:rsidR="00A54363">
        <w:rPr>
          <w:rFonts w:ascii="Book Antiqua" w:hAnsi="Book Antiqua"/>
        </w:rPr>
        <w:t>And t</w:t>
      </w:r>
      <w:r w:rsidR="00384B74">
        <w:rPr>
          <w:rFonts w:ascii="Book Antiqua" w:hAnsi="Book Antiqua"/>
        </w:rPr>
        <w:t xml:space="preserve">he Trinitarian dimension, </w:t>
      </w:r>
      <w:r w:rsidR="008A1F4E">
        <w:rPr>
          <w:rFonts w:ascii="Book Antiqua" w:hAnsi="Book Antiqua"/>
        </w:rPr>
        <w:t xml:space="preserve">following </w:t>
      </w:r>
      <w:r w:rsidR="00384B74">
        <w:rPr>
          <w:rFonts w:ascii="Book Antiqua" w:hAnsi="Book Antiqua"/>
        </w:rPr>
        <w:t>Balthasar’s “suprasexuality,”</w:t>
      </w:r>
      <w:r w:rsidR="00384B74">
        <w:rPr>
          <w:rStyle w:val="FootnoteReference"/>
          <w:rFonts w:ascii="Book Antiqua" w:hAnsi="Book Antiqua"/>
        </w:rPr>
        <w:footnoteReference w:id="113"/>
      </w:r>
      <w:r w:rsidR="00384B74">
        <w:rPr>
          <w:rFonts w:ascii="Book Antiqua" w:hAnsi="Book Antiqua"/>
        </w:rPr>
        <w:t xml:space="preserve"> constitutes John Paul’s “important innovation,”</w:t>
      </w:r>
      <w:r w:rsidR="00384B74">
        <w:rPr>
          <w:rStyle w:val="FootnoteReference"/>
          <w:rFonts w:ascii="Book Antiqua" w:hAnsi="Book Antiqua"/>
        </w:rPr>
        <w:footnoteReference w:id="114"/>
      </w:r>
      <w:r w:rsidR="00D22882">
        <w:rPr>
          <w:rFonts w:ascii="Book Antiqua" w:hAnsi="Book Antiqua"/>
        </w:rPr>
        <w:t xml:space="preserve"> whereby Genesis 1.27 is newly read to posit sexual differentiation as constitutive of human existence as </w:t>
      </w:r>
      <w:r w:rsidR="00D22882" w:rsidRPr="00D22882">
        <w:rPr>
          <w:rFonts w:ascii="Book Antiqua" w:hAnsi="Book Antiqua"/>
          <w:i/>
        </w:rPr>
        <w:t>imago Dei</w:t>
      </w:r>
      <w:r w:rsidR="00D22882">
        <w:rPr>
          <w:rFonts w:ascii="Book Antiqua" w:hAnsi="Book Antiqua"/>
        </w:rPr>
        <w:t>.</w:t>
      </w:r>
      <w:r w:rsidR="00D22882">
        <w:rPr>
          <w:rStyle w:val="FootnoteReference"/>
          <w:rFonts w:ascii="Book Antiqua" w:hAnsi="Book Antiqua"/>
        </w:rPr>
        <w:footnoteReference w:id="115"/>
      </w:r>
      <w:r w:rsidR="00AA3DA4">
        <w:rPr>
          <w:rFonts w:ascii="Book Antiqua" w:hAnsi="Book Antiqua"/>
        </w:rPr>
        <w:t xml:space="preserve">  These are the fundamental theological assertions which mark “the beginning of an exhilarating road that leads, by grace, to the heart of the Mystery himself.”</w:t>
      </w:r>
      <w:r w:rsidR="00AA3DA4">
        <w:rPr>
          <w:rStyle w:val="FootnoteReference"/>
          <w:rFonts w:ascii="Book Antiqua" w:hAnsi="Book Antiqua"/>
        </w:rPr>
        <w:footnoteReference w:id="116"/>
      </w:r>
    </w:p>
    <w:p w:rsidR="00A75273" w:rsidRDefault="00AA3DA4" w:rsidP="00B269D8">
      <w:pPr>
        <w:tabs>
          <w:tab w:val="left" w:pos="0"/>
        </w:tabs>
        <w:spacing w:after="120"/>
        <w:rPr>
          <w:rFonts w:ascii="Book Antiqua" w:hAnsi="Book Antiqua"/>
        </w:rPr>
      </w:pPr>
      <w:r>
        <w:rPr>
          <w:rFonts w:ascii="Book Antiqua" w:hAnsi="Book Antiqua"/>
        </w:rPr>
        <w:lastRenderedPageBreak/>
        <w:tab/>
        <w:t>It is only in the application of that Mystery, thus elucidated, to the ‘nature’ of sexuality, that we are liberated from banal, intracosmic, trivial, nihilistic, culturally-mutant animality</w:t>
      </w:r>
      <w:r w:rsidR="00A22A4E">
        <w:rPr>
          <w:rFonts w:ascii="Book Antiqua" w:hAnsi="Book Antiqua"/>
        </w:rPr>
        <w:t>.  It is here that the rubber meets the roa</w:t>
      </w:r>
      <w:r w:rsidR="00794551">
        <w:rPr>
          <w:rFonts w:ascii="Book Antiqua" w:hAnsi="Book Antiqua"/>
        </w:rPr>
        <w:t>d.  This ‘application’ grounds</w:t>
      </w:r>
      <w:r w:rsidR="00A22A4E">
        <w:rPr>
          <w:rFonts w:ascii="Book Antiqua" w:hAnsi="Book Antiqua"/>
        </w:rPr>
        <w:t xml:space="preserve"> an integral “theological anthropology,”</w:t>
      </w:r>
      <w:r w:rsidR="00A22A4E">
        <w:rPr>
          <w:rStyle w:val="FootnoteReference"/>
          <w:rFonts w:ascii="Book Antiqua" w:hAnsi="Book Antiqua"/>
        </w:rPr>
        <w:footnoteReference w:id="117"/>
      </w:r>
      <w:r w:rsidR="00A22A4E">
        <w:rPr>
          <w:rFonts w:ascii="Book Antiqua" w:hAnsi="Book Antiqua"/>
        </w:rPr>
        <w:t xml:space="preserve"> by means of which we are enabled to give “back the form of humankind as such to human reason.”</w:t>
      </w:r>
      <w:r w:rsidR="00A22A4E">
        <w:rPr>
          <w:rStyle w:val="FootnoteReference"/>
          <w:rFonts w:ascii="Book Antiqua" w:hAnsi="Book Antiqua"/>
        </w:rPr>
        <w:footnoteReference w:id="118"/>
      </w:r>
      <w:r w:rsidR="00A22A4E">
        <w:rPr>
          <w:rFonts w:ascii="Book Antiqua" w:hAnsi="Book Antiqua"/>
        </w:rPr>
        <w:t xml:space="preserve">  It is “by following the ‘guided thread’ of nuptiality”</w:t>
      </w:r>
      <w:r w:rsidR="00A22A4E">
        <w:rPr>
          <w:rStyle w:val="FootnoteReference"/>
          <w:rFonts w:ascii="Book Antiqua" w:hAnsi="Book Antiqua"/>
        </w:rPr>
        <w:footnoteReference w:id="119"/>
      </w:r>
      <w:r w:rsidR="00A22A4E">
        <w:rPr>
          <w:rFonts w:ascii="Book Antiqua" w:hAnsi="Book Antiqua"/>
        </w:rPr>
        <w:t xml:space="preserve"> that </w:t>
      </w:r>
      <w:r w:rsidR="00210081">
        <w:rPr>
          <w:rFonts w:ascii="Book Antiqua" w:hAnsi="Book Antiqua"/>
        </w:rPr>
        <w:t xml:space="preserve">we can overcome the “limitless ethical </w:t>
      </w:r>
      <w:r w:rsidR="00A22A4E">
        <w:rPr>
          <w:rFonts w:ascii="Book Antiqua" w:hAnsi="Book Antiqua"/>
        </w:rPr>
        <w:t>relativism”</w:t>
      </w:r>
      <w:r w:rsidR="00A22A4E">
        <w:rPr>
          <w:rStyle w:val="FootnoteReference"/>
          <w:rFonts w:ascii="Book Antiqua" w:hAnsi="Book Antiqua"/>
        </w:rPr>
        <w:footnoteReference w:id="120"/>
      </w:r>
      <w:r w:rsidR="00210081">
        <w:rPr>
          <w:rFonts w:ascii="Book Antiqua" w:hAnsi="Book Antiqua"/>
        </w:rPr>
        <w:t xml:space="preserve"> that has rendered us “incapable of meaningful ties, and of esteem for difference.”</w:t>
      </w:r>
      <w:r w:rsidR="00210081">
        <w:rPr>
          <w:rStyle w:val="FootnoteReference"/>
          <w:rFonts w:ascii="Book Antiqua" w:hAnsi="Book Antiqua"/>
        </w:rPr>
        <w:footnoteReference w:id="121"/>
      </w:r>
      <w:r w:rsidR="00210081">
        <w:rPr>
          <w:rFonts w:ascii="Book Antiqua" w:hAnsi="Book Antiqua"/>
        </w:rPr>
        <w:t xml:space="preserve">  Understanding and affirming sexual differentiation as the </w:t>
      </w:r>
      <w:r w:rsidR="00210081" w:rsidRPr="004B2026">
        <w:rPr>
          <w:rFonts w:ascii="Book Antiqua" w:hAnsi="Book Antiqua"/>
          <w:i/>
        </w:rPr>
        <w:t>analogatum princeps</w:t>
      </w:r>
      <w:r w:rsidR="004B2026">
        <w:rPr>
          <w:rStyle w:val="FootnoteReference"/>
          <w:rFonts w:ascii="Book Antiqua" w:hAnsi="Book Antiqua"/>
          <w:i/>
        </w:rPr>
        <w:footnoteReference w:id="122"/>
      </w:r>
      <w:r w:rsidR="009163B3">
        <w:rPr>
          <w:rFonts w:ascii="Book Antiqua" w:hAnsi="Book Antiqua"/>
        </w:rPr>
        <w:t xml:space="preserve"> of all </w:t>
      </w:r>
      <w:r w:rsidR="00210081">
        <w:rPr>
          <w:rFonts w:ascii="Book Antiqua" w:hAnsi="Book Antiqua"/>
        </w:rPr>
        <w:t xml:space="preserve">human communion, and all elevation of human communion by grace, </w:t>
      </w:r>
      <w:r w:rsidR="004B2026">
        <w:rPr>
          <w:rFonts w:ascii="Book Antiqua" w:hAnsi="Book Antiqua"/>
        </w:rPr>
        <w:t>is the only means by which “persons discover the truth about themselves.”</w:t>
      </w:r>
      <w:r w:rsidR="004B2026">
        <w:rPr>
          <w:rStyle w:val="FootnoteReference"/>
          <w:rFonts w:ascii="Book Antiqua" w:hAnsi="Book Antiqua"/>
        </w:rPr>
        <w:footnoteReference w:id="123"/>
      </w:r>
      <w:r w:rsidR="00401A12">
        <w:rPr>
          <w:rFonts w:ascii="Book Antiqua" w:hAnsi="Book Antiqua"/>
        </w:rPr>
        <w:t xml:space="preserve"> And that discovery, as Pope John Paul insisted, “is at the center of ‘the debate concerning the </w:t>
      </w:r>
      <w:r w:rsidR="00401A12" w:rsidRPr="00BE7F46">
        <w:rPr>
          <w:rFonts w:ascii="Book Antiqua" w:hAnsi="Book Antiqua"/>
          <w:i/>
        </w:rPr>
        <w:t>humanum</w:t>
      </w:r>
      <w:r w:rsidR="00401A12">
        <w:rPr>
          <w:rFonts w:ascii="Book Antiqua" w:hAnsi="Book Antiqua"/>
        </w:rPr>
        <w:t>’.”</w:t>
      </w:r>
      <w:r w:rsidR="00401A12">
        <w:rPr>
          <w:rStyle w:val="FootnoteReference"/>
          <w:rFonts w:ascii="Book Antiqua" w:hAnsi="Book Antiqua"/>
        </w:rPr>
        <w:footnoteReference w:id="124"/>
      </w:r>
    </w:p>
    <w:p w:rsidR="000721BD" w:rsidRDefault="000721BD" w:rsidP="00B269D8">
      <w:pPr>
        <w:tabs>
          <w:tab w:val="left" w:pos="0"/>
        </w:tabs>
        <w:spacing w:after="120"/>
        <w:rPr>
          <w:rFonts w:ascii="Book Antiqua" w:hAnsi="Book Antiqua"/>
        </w:rPr>
      </w:pPr>
      <w:r>
        <w:rPr>
          <w:rFonts w:ascii="Book Antiqua" w:hAnsi="Book Antiqua"/>
        </w:rPr>
        <w:tab/>
        <w:t xml:space="preserve">Hints from the </w:t>
      </w:r>
      <w:r w:rsidRPr="000721BD">
        <w:rPr>
          <w:rFonts w:ascii="Book Antiqua" w:hAnsi="Book Antiqua"/>
          <w:i/>
        </w:rPr>
        <w:t>humanum</w:t>
      </w:r>
      <w:r>
        <w:rPr>
          <w:rFonts w:ascii="Book Antiqua" w:hAnsi="Book Antiqua"/>
        </w:rPr>
        <w:t xml:space="preserve"> enable insights into the Mystery, and </w:t>
      </w:r>
      <w:r w:rsidR="00C05601">
        <w:rPr>
          <w:rFonts w:ascii="Book Antiqua" w:hAnsi="Book Antiqua"/>
        </w:rPr>
        <w:t>illumination</w:t>
      </w:r>
      <w:r>
        <w:rPr>
          <w:rFonts w:ascii="Book Antiqua" w:hAnsi="Book Antiqua"/>
        </w:rPr>
        <w:t xml:space="preserve"> of those insights through revealed Trut</w:t>
      </w:r>
      <w:r w:rsidR="00E84E2D">
        <w:rPr>
          <w:rFonts w:ascii="Book Antiqua" w:hAnsi="Book Antiqua"/>
        </w:rPr>
        <w:t xml:space="preserve">h enables restorative </w:t>
      </w:r>
      <w:r w:rsidR="00E84E2D" w:rsidRPr="00E84E2D">
        <w:rPr>
          <w:rFonts w:ascii="Book Antiqua" w:hAnsi="Book Antiqua"/>
          <w:i/>
        </w:rPr>
        <w:t>sanans</w:t>
      </w:r>
      <w:r w:rsidR="00E84E2D">
        <w:rPr>
          <w:rFonts w:ascii="Book Antiqua" w:hAnsi="Book Antiqua"/>
        </w:rPr>
        <w:t xml:space="preserve"> </w:t>
      </w:r>
      <w:r>
        <w:rPr>
          <w:rFonts w:ascii="Book Antiqua" w:hAnsi="Book Antiqua"/>
        </w:rPr>
        <w:t>of that very</w:t>
      </w:r>
      <w:r w:rsidRPr="000721BD">
        <w:rPr>
          <w:rFonts w:ascii="Book Antiqua" w:hAnsi="Book Antiqua"/>
          <w:i/>
        </w:rPr>
        <w:t xml:space="preserve"> humanum</w:t>
      </w:r>
      <w:r>
        <w:rPr>
          <w:rFonts w:ascii="Book Antiqua" w:hAnsi="Book Antiqua"/>
        </w:rPr>
        <w:t>.</w:t>
      </w:r>
    </w:p>
    <w:p w:rsidR="000721BD" w:rsidRDefault="000721BD" w:rsidP="000721BD">
      <w:pPr>
        <w:spacing w:after="120"/>
        <w:ind w:left="720" w:firstLine="720"/>
        <w:contextualSpacing/>
        <w:rPr>
          <w:rFonts w:ascii="Book Antiqua" w:hAnsi="Book Antiqua"/>
          <w:sz w:val="20"/>
          <w:szCs w:val="20"/>
        </w:rPr>
      </w:pPr>
      <w:r>
        <w:rPr>
          <w:rFonts w:ascii="Book Antiqua" w:hAnsi="Book Antiqua"/>
          <w:sz w:val="20"/>
          <w:szCs w:val="20"/>
        </w:rPr>
        <w:t>We shall not cease from exploration</w:t>
      </w:r>
    </w:p>
    <w:p w:rsidR="000721BD" w:rsidRDefault="000721BD" w:rsidP="000721BD">
      <w:pPr>
        <w:spacing w:after="120"/>
        <w:ind w:left="720"/>
        <w:contextualSpacing/>
        <w:rPr>
          <w:rFonts w:ascii="Book Antiqua" w:hAnsi="Book Antiqua"/>
          <w:sz w:val="20"/>
          <w:szCs w:val="20"/>
        </w:rPr>
      </w:pPr>
      <w:r>
        <w:rPr>
          <w:rFonts w:ascii="Book Antiqua" w:hAnsi="Book Antiqua"/>
          <w:sz w:val="20"/>
          <w:szCs w:val="20"/>
        </w:rPr>
        <w:t>And the end of all our exploring</w:t>
      </w:r>
    </w:p>
    <w:p w:rsidR="000721BD" w:rsidRDefault="000721BD" w:rsidP="000721BD">
      <w:pPr>
        <w:spacing w:after="120"/>
        <w:ind w:left="720"/>
        <w:contextualSpacing/>
        <w:rPr>
          <w:rFonts w:ascii="Book Antiqua" w:hAnsi="Book Antiqua"/>
          <w:sz w:val="20"/>
          <w:szCs w:val="20"/>
        </w:rPr>
      </w:pPr>
      <w:r>
        <w:rPr>
          <w:rFonts w:ascii="Book Antiqua" w:hAnsi="Book Antiqua"/>
          <w:sz w:val="20"/>
          <w:szCs w:val="20"/>
        </w:rPr>
        <w:t>Will be to arrive where we started</w:t>
      </w:r>
    </w:p>
    <w:p w:rsidR="00CE21E0" w:rsidRDefault="000721BD" w:rsidP="00CE21E0">
      <w:pPr>
        <w:spacing w:after="120"/>
        <w:ind w:left="720"/>
        <w:rPr>
          <w:rFonts w:ascii="Book Antiqua" w:hAnsi="Book Antiqua"/>
          <w:sz w:val="20"/>
          <w:szCs w:val="20"/>
        </w:rPr>
      </w:pPr>
      <w:r>
        <w:rPr>
          <w:rFonts w:ascii="Book Antiqua" w:hAnsi="Book Antiqua"/>
          <w:sz w:val="20"/>
          <w:szCs w:val="20"/>
        </w:rPr>
        <w:t>And know the place for the first time.</w:t>
      </w:r>
      <w:r>
        <w:rPr>
          <w:rStyle w:val="FootnoteReference"/>
          <w:rFonts w:ascii="Book Antiqua" w:hAnsi="Book Antiqua"/>
          <w:sz w:val="20"/>
          <w:szCs w:val="20"/>
        </w:rPr>
        <w:footnoteReference w:id="125"/>
      </w:r>
    </w:p>
    <w:p w:rsidR="00CC125A" w:rsidRDefault="000721BD" w:rsidP="00CE21E0">
      <w:pPr>
        <w:spacing w:after="120"/>
        <w:rPr>
          <w:rFonts w:ascii="Book Antiqua" w:hAnsi="Book Antiqua"/>
        </w:rPr>
      </w:pPr>
      <w:r>
        <w:rPr>
          <w:rFonts w:ascii="Book Antiqua" w:hAnsi="Book Antiqua"/>
        </w:rPr>
        <w:t>It is a beautiful visi</w:t>
      </w:r>
      <w:r w:rsidR="00CE21E0">
        <w:rPr>
          <w:rFonts w:ascii="Book Antiqua" w:hAnsi="Book Antiqua"/>
        </w:rPr>
        <w:t>on.  I am not blind to that beauty.  And yet, questions occur.  I, also, am not deaf to them.  And hearing them complicates things.</w:t>
      </w:r>
    </w:p>
    <w:p w:rsidR="00CE21E0" w:rsidRDefault="00CE21E0" w:rsidP="00CE21E0">
      <w:pPr>
        <w:spacing w:after="120"/>
        <w:ind w:left="720"/>
        <w:contextualSpacing/>
        <w:rPr>
          <w:rFonts w:ascii="Book Antiqua" w:hAnsi="Book Antiqua"/>
          <w:sz w:val="20"/>
          <w:szCs w:val="20"/>
        </w:rPr>
      </w:pPr>
      <w:r>
        <w:rPr>
          <w:rFonts w:ascii="Book Antiqua" w:hAnsi="Book Antiqua"/>
          <w:sz w:val="20"/>
          <w:szCs w:val="20"/>
        </w:rPr>
        <w:tab/>
        <w:t>Home is where one starts from.  As we grow older</w:t>
      </w:r>
    </w:p>
    <w:p w:rsidR="00CE21E0" w:rsidRPr="00CE21E0" w:rsidRDefault="00CE21E0" w:rsidP="00CE21E0">
      <w:pPr>
        <w:spacing w:after="120"/>
        <w:ind w:left="720"/>
        <w:rPr>
          <w:rFonts w:ascii="Book Antiqua" w:hAnsi="Book Antiqua"/>
          <w:sz w:val="20"/>
          <w:szCs w:val="20"/>
        </w:rPr>
      </w:pPr>
      <w:r>
        <w:rPr>
          <w:rFonts w:ascii="Book Antiqua" w:hAnsi="Book Antiqua"/>
          <w:sz w:val="20"/>
          <w:szCs w:val="20"/>
        </w:rPr>
        <w:t>The world becomes stranger, the pattern more complicated.</w:t>
      </w:r>
      <w:r>
        <w:rPr>
          <w:rStyle w:val="FootnoteReference"/>
          <w:rFonts w:ascii="Book Antiqua" w:hAnsi="Book Antiqua"/>
          <w:sz w:val="20"/>
          <w:szCs w:val="20"/>
        </w:rPr>
        <w:footnoteReference w:id="126"/>
      </w:r>
    </w:p>
    <w:p w:rsidR="00CE21E0" w:rsidRDefault="009B6478" w:rsidP="004F645C">
      <w:pPr>
        <w:tabs>
          <w:tab w:val="left" w:pos="0"/>
        </w:tabs>
        <w:spacing w:after="120"/>
        <w:rPr>
          <w:rFonts w:ascii="Book Antiqua" w:hAnsi="Book Antiqua"/>
        </w:rPr>
      </w:pPr>
      <w:r>
        <w:rPr>
          <w:rFonts w:ascii="Book Antiqua" w:hAnsi="Book Antiqua"/>
        </w:rPr>
        <w:t>I offer here but one large complication, with a few textual twists to elucida</w:t>
      </w:r>
      <w:r w:rsidR="00A918D1">
        <w:rPr>
          <w:rFonts w:ascii="Book Antiqua" w:hAnsi="Book Antiqua"/>
        </w:rPr>
        <w:t>te.</w:t>
      </w:r>
    </w:p>
    <w:p w:rsidR="00A918D1" w:rsidRDefault="00A918D1" w:rsidP="006545D6">
      <w:pPr>
        <w:tabs>
          <w:tab w:val="left" w:pos="0"/>
        </w:tabs>
        <w:spacing w:after="240"/>
        <w:rPr>
          <w:rFonts w:ascii="Book Antiqua" w:hAnsi="Book Antiqua"/>
        </w:rPr>
      </w:pPr>
      <w:r>
        <w:rPr>
          <w:rFonts w:ascii="Book Antiqua" w:hAnsi="Book Antiqua"/>
        </w:rPr>
        <w:tab/>
        <w:t>Cardinal Scola insists at the outset that he wants to proceed “without confusing the natural and supernatural dimensions.”</w:t>
      </w:r>
      <w:r>
        <w:rPr>
          <w:rStyle w:val="FootnoteReference"/>
          <w:rFonts w:ascii="Book Antiqua" w:hAnsi="Book Antiqua"/>
        </w:rPr>
        <w:footnoteReference w:id="127"/>
      </w:r>
      <w:r w:rsidR="00AC5E9A">
        <w:rPr>
          <w:rFonts w:ascii="Book Antiqua" w:hAnsi="Book Antiqua"/>
        </w:rPr>
        <w:t xml:space="preserve">  Whether or not he has succeeded in avoiding such confusion is the big question, the large complication.  It seems to me that he has not.  </w:t>
      </w:r>
      <w:r w:rsidR="00AC5E9A" w:rsidRPr="00AC5E9A">
        <w:rPr>
          <w:rFonts w:ascii="Book Antiqua" w:hAnsi="Book Antiqua"/>
          <w:i/>
        </w:rPr>
        <w:t>The Nuptial Mystery</w:t>
      </w:r>
      <w:r w:rsidR="00AC5E9A" w:rsidRPr="005E4EEA">
        <w:rPr>
          <w:rFonts w:ascii="Book Antiqua" w:hAnsi="Book Antiqua"/>
        </w:rPr>
        <w:t xml:space="preserve"> proceeds</w:t>
      </w:r>
      <w:r w:rsidR="00AC5E9A">
        <w:rPr>
          <w:rFonts w:ascii="Book Antiqua" w:hAnsi="Book Antiqua"/>
        </w:rPr>
        <w:t>, page after page, essay</w:t>
      </w:r>
      <w:r w:rsidR="00F06A41">
        <w:rPr>
          <w:rFonts w:ascii="Book Antiqua" w:hAnsi="Book Antiqua"/>
        </w:rPr>
        <w:t xml:space="preserve"> after essay, by contrasting </w:t>
      </w:r>
      <w:r w:rsidR="00AC5E9A">
        <w:rPr>
          <w:rFonts w:ascii="Book Antiqua" w:hAnsi="Book Antiqua"/>
        </w:rPr>
        <w:t>fundamentally opposed dyadic options, between which one must choose:  either/or.</w:t>
      </w:r>
      <w:r w:rsidR="00870279">
        <w:rPr>
          <w:rFonts w:ascii="Book Antiqua" w:hAnsi="Book Antiqua"/>
        </w:rPr>
        <w:t xml:space="preserve">  If one were to follow Cardinal Dulles’s method and seek to read the book by understanding the implied models </w:t>
      </w:r>
      <w:r w:rsidR="00DF2B78">
        <w:rPr>
          <w:rFonts w:ascii="Book Antiqua" w:hAnsi="Book Antiqua"/>
        </w:rPr>
        <w:t xml:space="preserve">of human sexuality </w:t>
      </w:r>
      <w:r w:rsidR="00870279">
        <w:rPr>
          <w:rFonts w:ascii="Book Antiqua" w:hAnsi="Book Antiqua"/>
        </w:rPr>
        <w:t>that are contrasted, there emerges this recurrent duality:</w:t>
      </w:r>
    </w:p>
    <w:p w:rsidR="00CE21E0" w:rsidRPr="007379B9" w:rsidRDefault="007F4FBB" w:rsidP="007379B9">
      <w:pPr>
        <w:tabs>
          <w:tab w:val="left" w:pos="0"/>
        </w:tabs>
        <w:spacing w:after="120"/>
        <w:jc w:val="center"/>
        <w:rPr>
          <w:rFonts w:ascii="Book Antiqua" w:hAnsi="Book Antiqua"/>
        </w:rPr>
      </w:pPr>
      <w:r>
        <w:rPr>
          <w:rFonts w:ascii="Book Antiqua" w:hAnsi="Book Antiqua"/>
          <w:noProof/>
        </w:rPr>
        <w:lastRenderedPageBreak/>
        <w:drawing>
          <wp:inline distT="0" distB="0" distL="0" distR="0">
            <wp:extent cx="5482336" cy="460858"/>
            <wp:effectExtent l="19050" t="0" r="23114"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F4E64" w:rsidRPr="005A732D" w:rsidRDefault="004F4E64" w:rsidP="001242A7">
      <w:pPr>
        <w:tabs>
          <w:tab w:val="left" w:pos="0"/>
        </w:tabs>
        <w:spacing w:after="120"/>
        <w:rPr>
          <w:rFonts w:ascii="Book Antiqua" w:hAnsi="Book Antiqua"/>
          <w:sz w:val="12"/>
          <w:szCs w:val="12"/>
        </w:rPr>
      </w:pPr>
    </w:p>
    <w:p w:rsidR="001242A7" w:rsidRDefault="001242A7" w:rsidP="001242A7">
      <w:pPr>
        <w:tabs>
          <w:tab w:val="left" w:pos="0"/>
        </w:tabs>
        <w:spacing w:after="120"/>
        <w:rPr>
          <w:rFonts w:ascii="Book Antiqua" w:hAnsi="Book Antiqua"/>
        </w:rPr>
      </w:pPr>
      <w:r>
        <w:rPr>
          <w:rFonts w:ascii="Book Antiqua" w:hAnsi="Book Antiqua"/>
        </w:rPr>
        <w:t xml:space="preserve">Every position on the </w:t>
      </w:r>
      <w:r w:rsidRPr="001242A7">
        <w:rPr>
          <w:rFonts w:ascii="Book Antiqua" w:hAnsi="Book Antiqua"/>
          <w:i/>
        </w:rPr>
        <w:t>humanum</w:t>
      </w:r>
      <w:r>
        <w:rPr>
          <w:rFonts w:ascii="Book Antiqua" w:hAnsi="Book Antiqua"/>
        </w:rPr>
        <w:t xml:space="preserve"> considered by Cardinal Scola can be incorporated in this model.  Without interpretation in light of the nuptial mystery, there is only trivialization</w:t>
      </w:r>
      <w:r w:rsidR="001F5B4F">
        <w:rPr>
          <w:rFonts w:ascii="Book Antiqua" w:hAnsi="Book Antiqua"/>
        </w:rPr>
        <w:t>; and if one wishes to avoid trivialization, one must turn to the nuptial mystery.</w:t>
      </w:r>
      <w:r w:rsidR="00BE11E3">
        <w:rPr>
          <w:rFonts w:ascii="Book Antiqua" w:hAnsi="Book Antiqua"/>
        </w:rPr>
        <w:t xml:space="preserve">  Simple models have the value of clarity.</w:t>
      </w:r>
    </w:p>
    <w:p w:rsidR="00D35FEC" w:rsidRDefault="00BE11E3" w:rsidP="00267036">
      <w:pPr>
        <w:tabs>
          <w:tab w:val="left" w:pos="0"/>
        </w:tabs>
        <w:spacing w:after="240"/>
        <w:contextualSpacing/>
        <w:rPr>
          <w:rFonts w:ascii="Book Antiqua" w:hAnsi="Book Antiqua"/>
        </w:rPr>
      </w:pPr>
      <w:r>
        <w:rPr>
          <w:rFonts w:ascii="Book Antiqua" w:hAnsi="Book Antiqua"/>
        </w:rPr>
        <w:tab/>
        <w:t>An</w:t>
      </w:r>
      <w:r w:rsidR="003A1773">
        <w:rPr>
          <w:rFonts w:ascii="Book Antiqua" w:hAnsi="Book Antiqua"/>
        </w:rPr>
        <w:t>d</w:t>
      </w:r>
      <w:r>
        <w:rPr>
          <w:rFonts w:ascii="Book Antiqua" w:hAnsi="Book Antiqua"/>
        </w:rPr>
        <w:t xml:space="preserve"> yet, it seems</w:t>
      </w:r>
      <w:r w:rsidR="001650CA">
        <w:rPr>
          <w:rFonts w:ascii="Book Antiqua" w:hAnsi="Book Antiqua"/>
        </w:rPr>
        <w:t xml:space="preserve"> </w:t>
      </w:r>
      <w:r w:rsidR="00267036">
        <w:rPr>
          <w:rFonts w:ascii="Book Antiqua" w:hAnsi="Book Antiqua"/>
        </w:rPr>
        <w:t>to me,</w:t>
      </w:r>
      <w:r>
        <w:rPr>
          <w:rFonts w:ascii="Book Antiqua" w:hAnsi="Book Antiqua"/>
        </w:rPr>
        <w:t xml:space="preserve"> “all too concise and too clear.”</w:t>
      </w:r>
      <w:r>
        <w:rPr>
          <w:rStyle w:val="FootnoteReference"/>
          <w:rFonts w:ascii="Book Antiqua" w:hAnsi="Book Antiqua"/>
        </w:rPr>
        <w:footnoteReference w:id="128"/>
      </w:r>
      <w:r w:rsidR="00267036">
        <w:rPr>
          <w:rFonts w:ascii="Book Antiqua" w:hAnsi="Book Antiqua"/>
        </w:rPr>
        <w:t xml:space="preserve">  What happens </w:t>
      </w:r>
      <w:r w:rsidR="007379B9">
        <w:rPr>
          <w:rFonts w:ascii="Book Antiqua" w:hAnsi="Book Antiqua"/>
        </w:rPr>
        <w:t>if one introduces a quadral, rather than dual, model?</w:t>
      </w:r>
    </w:p>
    <w:p w:rsidR="005A732D" w:rsidRPr="007B057B" w:rsidRDefault="005A732D" w:rsidP="00267036">
      <w:pPr>
        <w:tabs>
          <w:tab w:val="left" w:pos="0"/>
        </w:tabs>
        <w:spacing w:after="240"/>
        <w:rPr>
          <w:rFonts w:ascii="Book Antiqua" w:hAnsi="Book Antiqua"/>
          <w:sz w:val="16"/>
          <w:szCs w:val="16"/>
        </w:rPr>
      </w:pPr>
    </w:p>
    <w:p w:rsidR="00D35FEC" w:rsidRPr="007379B9" w:rsidRDefault="00FE1897" w:rsidP="00276DE6">
      <w:pPr>
        <w:tabs>
          <w:tab w:val="left" w:pos="630"/>
        </w:tabs>
        <w:spacing w:after="120"/>
        <w:ind w:left="360"/>
        <w:rPr>
          <w:rFonts w:ascii="Book Antiqua" w:hAnsi="Book Antiqua"/>
        </w:rPr>
      </w:pPr>
      <w:r>
        <w:rPr>
          <w:rFonts w:ascii="Book Antiqua" w:hAnsi="Book Antiqua"/>
          <w:noProof/>
        </w:rPr>
        <w:pict>
          <v:shape id="_x0000_s1039" type="#_x0000_t32" style="position:absolute;left:0;text-align:left;margin-left:178.3pt;margin-top:219.3pt;width:111.2pt;height:0;flip:x;z-index:251669504" o:connectortype="straight">
            <v:stroke startarrow="block" endarrow="block"/>
          </v:shape>
        </w:pict>
      </w:r>
      <w:r>
        <w:rPr>
          <w:rFonts w:ascii="Book Antiqua" w:hAnsi="Book Antiqua"/>
          <w:noProof/>
        </w:rPr>
        <w:pict>
          <v:shape id="_x0000_s1038" type="#_x0000_t32" style="position:absolute;left:0;text-align:left;margin-left:365.45pt;margin-top:71.1pt;width:1.1pt;height:76.3pt;z-index:251668480" o:connectortype="straight">
            <v:stroke startarrow="block" endarrow="block"/>
          </v:shape>
        </w:pict>
      </w:r>
      <w:r>
        <w:rPr>
          <w:rFonts w:ascii="Book Antiqua" w:hAnsi="Book Antiqua"/>
          <w:noProof/>
        </w:rPr>
        <w:pict>
          <v:shape id="_x0000_s1040" type="#_x0000_t32" style="position:absolute;left:0;text-align:left;margin-left:102.25pt;margin-top:71.1pt;width:.55pt;height:76.3pt;flip:x;z-index:251670528" o:connectortype="straight">
            <v:stroke startarrow="block" endarrow="block"/>
          </v:shape>
        </w:pict>
      </w:r>
      <w:r>
        <w:rPr>
          <w:rFonts w:ascii="Book Antiqua" w:hAnsi="Book Antiqua"/>
          <w:noProof/>
        </w:rPr>
        <w:pict>
          <v:shape id="_x0000_s1036" type="#_x0000_t32" style="position:absolute;left:0;text-align:left;margin-left:178.3pt;margin-top:-.1pt;width:111.2pt;height:0;z-index:251667456" o:connectortype="straight">
            <v:stroke startarrow="block" endarrow="block"/>
          </v:shape>
        </w:pict>
      </w:r>
      <w:r w:rsidR="00D35FEC">
        <w:rPr>
          <w:rFonts w:ascii="Book Antiqua" w:hAnsi="Book Antiqua"/>
          <w:noProof/>
        </w:rPr>
        <w:drawing>
          <wp:inline distT="0" distB="0" distL="0" distR="0">
            <wp:extent cx="5486400" cy="2787092"/>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75A71" w:rsidRPr="00575A71" w:rsidRDefault="00575A71" w:rsidP="00575A71">
      <w:pPr>
        <w:tabs>
          <w:tab w:val="left" w:pos="0"/>
        </w:tabs>
        <w:spacing w:before="120" w:after="120"/>
        <w:contextualSpacing/>
        <w:rPr>
          <w:rFonts w:ascii="Book Antiqua" w:hAnsi="Book Antiqua"/>
          <w:sz w:val="12"/>
          <w:szCs w:val="12"/>
        </w:rPr>
      </w:pPr>
    </w:p>
    <w:p w:rsidR="005A732D" w:rsidRPr="005A732D" w:rsidRDefault="005A732D" w:rsidP="00575A71">
      <w:pPr>
        <w:tabs>
          <w:tab w:val="left" w:pos="0"/>
        </w:tabs>
        <w:spacing w:before="120" w:after="120"/>
        <w:rPr>
          <w:rFonts w:ascii="Book Antiqua" w:hAnsi="Book Antiqua"/>
          <w:sz w:val="8"/>
          <w:szCs w:val="8"/>
        </w:rPr>
      </w:pPr>
    </w:p>
    <w:p w:rsidR="007379B9" w:rsidRDefault="003A1773" w:rsidP="00575A71">
      <w:pPr>
        <w:tabs>
          <w:tab w:val="left" w:pos="0"/>
        </w:tabs>
        <w:spacing w:before="120" w:after="120"/>
        <w:rPr>
          <w:rFonts w:ascii="Book Antiqua" w:hAnsi="Book Antiqua"/>
        </w:rPr>
      </w:pPr>
      <w:r>
        <w:rPr>
          <w:rFonts w:ascii="Book Antiqua" w:hAnsi="Book Antiqua"/>
        </w:rPr>
        <w:t xml:space="preserve">Such a model </w:t>
      </w:r>
      <w:r w:rsidR="00575A71">
        <w:rPr>
          <w:rFonts w:ascii="Book Antiqua" w:hAnsi="Book Antiqua"/>
        </w:rPr>
        <w:t>introduces a twofold complication, yet also a dual clarity</w:t>
      </w:r>
      <w:r>
        <w:rPr>
          <w:rFonts w:ascii="Book Antiqua" w:hAnsi="Book Antiqua"/>
        </w:rPr>
        <w:t xml:space="preserve">.  </w:t>
      </w:r>
      <w:r w:rsidR="00A82BC2">
        <w:rPr>
          <w:rFonts w:ascii="Book Antiqua" w:hAnsi="Book Antiqua"/>
        </w:rPr>
        <w:t xml:space="preserve">Efforts at </w:t>
      </w:r>
      <w:r>
        <w:rPr>
          <w:rFonts w:ascii="Book Antiqua" w:hAnsi="Book Antiqua"/>
        </w:rPr>
        <w:t>‘</w:t>
      </w:r>
      <w:r w:rsidR="00A82BC2">
        <w:rPr>
          <w:rFonts w:ascii="Book Antiqua" w:hAnsi="Book Antiqua"/>
        </w:rPr>
        <w:t>n</w:t>
      </w:r>
      <w:r>
        <w:rPr>
          <w:rFonts w:ascii="Book Antiqua" w:hAnsi="Book Antiqua"/>
        </w:rPr>
        <w:t xml:space="preserve">atural’ understanding, to be sure, run the risk of trivialization.  But do not appeals to ‘Mystery’ also carry risk of masking mere mystification?  </w:t>
      </w:r>
      <w:r w:rsidR="00A82BC2">
        <w:rPr>
          <w:rFonts w:ascii="Book Antiqua" w:hAnsi="Book Antiqua"/>
        </w:rPr>
        <w:t>And</w:t>
      </w:r>
      <w:r>
        <w:rPr>
          <w:rFonts w:ascii="Book Antiqua" w:hAnsi="Book Antiqua"/>
        </w:rPr>
        <w:t xml:space="preserve"> just as the latter risk does not preclude the possibility of </w:t>
      </w:r>
      <w:r w:rsidR="00A82BC2">
        <w:rPr>
          <w:rFonts w:ascii="Book Antiqua" w:hAnsi="Book Antiqua"/>
        </w:rPr>
        <w:t>understanding the reality of elevation into Mystery, so, too, the former risk does not preclude the possibility of non-trivial natural understanding.</w:t>
      </w:r>
    </w:p>
    <w:p w:rsidR="00575A71" w:rsidRDefault="00FB4E00" w:rsidP="005E4EEA">
      <w:pPr>
        <w:tabs>
          <w:tab w:val="left" w:pos="0"/>
        </w:tabs>
        <w:spacing w:before="120" w:after="120"/>
        <w:rPr>
          <w:rFonts w:ascii="Book Antiqua" w:hAnsi="Book Antiqua"/>
        </w:rPr>
      </w:pPr>
      <w:r>
        <w:rPr>
          <w:rFonts w:ascii="Book Antiqua" w:hAnsi="Book Antiqua"/>
        </w:rPr>
        <w:tab/>
        <w:t>The insight which generated this model in my mind emerged from the cumulative impact of Cardinal Scola’s sources.</w:t>
      </w:r>
      <w:r w:rsidR="00AB64F0">
        <w:rPr>
          <w:rFonts w:ascii="Book Antiqua" w:hAnsi="Book Antiqua"/>
        </w:rPr>
        <w:t xml:space="preserve">  Other than six references to Freud,</w:t>
      </w:r>
      <w:r w:rsidR="00AB64F0">
        <w:rPr>
          <w:rStyle w:val="FootnoteReference"/>
          <w:rFonts w:ascii="Book Antiqua" w:hAnsi="Book Antiqua"/>
        </w:rPr>
        <w:footnoteReference w:id="129"/>
      </w:r>
      <w:r w:rsidR="00AB64F0">
        <w:rPr>
          <w:rFonts w:ascii="Book Antiqua" w:hAnsi="Book Antiqua"/>
        </w:rPr>
        <w:t xml:space="preserve"> the only reference to</w:t>
      </w:r>
      <w:r w:rsidR="004F4E64">
        <w:rPr>
          <w:rFonts w:ascii="Book Antiqua" w:hAnsi="Book Antiqua"/>
        </w:rPr>
        <w:t xml:space="preserve"> </w:t>
      </w:r>
      <w:r w:rsidR="00AB64F0">
        <w:rPr>
          <w:rFonts w:ascii="Book Antiqua" w:hAnsi="Book Antiqua"/>
        </w:rPr>
        <w:t xml:space="preserve">any possible contribution to understanding by </w:t>
      </w:r>
      <w:r w:rsidR="00091547">
        <w:rPr>
          <w:rFonts w:ascii="Book Antiqua" w:hAnsi="Book Antiqua"/>
        </w:rPr>
        <w:t xml:space="preserve">either the ‘natural’ or </w:t>
      </w:r>
      <w:r w:rsidR="00AB64F0">
        <w:rPr>
          <w:rFonts w:ascii="Book Antiqua" w:hAnsi="Book Antiqua"/>
        </w:rPr>
        <w:t>the ‘human</w:t>
      </w:r>
      <w:r w:rsidR="00091547">
        <w:rPr>
          <w:rFonts w:ascii="Book Antiqua" w:hAnsi="Book Antiqua"/>
        </w:rPr>
        <w:t>’</w:t>
      </w:r>
      <w:r w:rsidR="00AB64F0">
        <w:rPr>
          <w:rFonts w:ascii="Book Antiqua" w:hAnsi="Book Antiqua"/>
        </w:rPr>
        <w:t xml:space="preserve"> sciences is in a </w:t>
      </w:r>
      <w:r w:rsidR="00AB64F0">
        <w:rPr>
          <w:rFonts w:ascii="Book Antiqua" w:hAnsi="Book Antiqua"/>
        </w:rPr>
        <w:lastRenderedPageBreak/>
        <w:t>footnote referencing the anthropologist Claude L</w:t>
      </w:r>
      <w:r w:rsidR="00180C86">
        <w:rPr>
          <w:rFonts w:ascii="Book Antiqua" w:hAnsi="Book Antiqua"/>
        </w:rPr>
        <w:t>é</w:t>
      </w:r>
      <w:r w:rsidR="00AB64F0">
        <w:rPr>
          <w:rFonts w:ascii="Book Antiqua" w:hAnsi="Book Antiqua"/>
        </w:rPr>
        <w:t>vi-Strauss.</w:t>
      </w:r>
      <w:r w:rsidR="00AB64F0">
        <w:rPr>
          <w:rStyle w:val="FootnoteReference"/>
          <w:rFonts w:ascii="Book Antiqua" w:hAnsi="Book Antiqua"/>
        </w:rPr>
        <w:footnoteReference w:id="130"/>
      </w:r>
      <w:r w:rsidR="005E4EEA">
        <w:rPr>
          <w:rFonts w:ascii="Book Antiqua" w:hAnsi="Book Antiqua"/>
        </w:rPr>
        <w:t xml:space="preserve">  There are sweeping generalizations about socio-cultural shifts, and yet one looks in vain for a single demographic fact.  There is insistence on </w:t>
      </w:r>
      <w:r w:rsidR="00641547">
        <w:rPr>
          <w:rFonts w:ascii="Book Antiqua" w:hAnsi="Book Antiqua"/>
        </w:rPr>
        <w:t xml:space="preserve">physiological evidence, yet no biologist </w:t>
      </w:r>
      <w:r w:rsidR="0096539D">
        <w:rPr>
          <w:rFonts w:ascii="Book Antiqua" w:hAnsi="Book Antiqua"/>
        </w:rPr>
        <w:t xml:space="preserve">(Darwinian or otherwise) </w:t>
      </w:r>
      <w:r w:rsidR="00641547">
        <w:rPr>
          <w:rFonts w:ascii="Book Antiqua" w:hAnsi="Book Antiqua"/>
        </w:rPr>
        <w:t>need apply for inclusion in Cardinal Scola’s index of names.  The entire project of ‘nuptial theology’ is presented as a “theological anthropology,”</w:t>
      </w:r>
      <w:r w:rsidR="00641547">
        <w:rPr>
          <w:rStyle w:val="FootnoteReference"/>
          <w:rFonts w:ascii="Book Antiqua" w:hAnsi="Book Antiqua"/>
        </w:rPr>
        <w:footnoteReference w:id="131"/>
      </w:r>
      <w:r w:rsidR="00641547">
        <w:rPr>
          <w:rFonts w:ascii="Book Antiqua" w:hAnsi="Book Antiqua"/>
        </w:rPr>
        <w:t xml:space="preserve"> </w:t>
      </w:r>
      <w:r w:rsidR="00D439C9">
        <w:rPr>
          <w:rFonts w:ascii="Book Antiqua" w:hAnsi="Book Antiqua"/>
        </w:rPr>
        <w:t xml:space="preserve">yet </w:t>
      </w:r>
      <w:r w:rsidR="00641547">
        <w:rPr>
          <w:rFonts w:ascii="Book Antiqua" w:hAnsi="Book Antiqua"/>
        </w:rPr>
        <w:t xml:space="preserve">without </w:t>
      </w:r>
      <w:r w:rsidR="00D439C9">
        <w:rPr>
          <w:rFonts w:ascii="Book Antiqua" w:hAnsi="Book Antiqua"/>
        </w:rPr>
        <w:t xml:space="preserve">the slightest </w:t>
      </w:r>
      <w:r w:rsidR="00641547">
        <w:rPr>
          <w:rFonts w:ascii="Book Antiqua" w:hAnsi="Book Antiqua"/>
        </w:rPr>
        <w:t>consideration of possibl</w:t>
      </w:r>
      <w:r w:rsidR="003A6A0E">
        <w:rPr>
          <w:rFonts w:ascii="Book Antiqua" w:hAnsi="Book Antiqua"/>
        </w:rPr>
        <w:t>e contribution from anthropologists</w:t>
      </w:r>
      <w:r w:rsidR="00641547">
        <w:rPr>
          <w:rFonts w:ascii="Book Antiqua" w:hAnsi="Book Antiqua"/>
        </w:rPr>
        <w:t xml:space="preserve">, except for the afore-mentioned structuralist footnote.  </w:t>
      </w:r>
      <w:r w:rsidR="00D439C9">
        <w:rPr>
          <w:rFonts w:ascii="Book Antiqua" w:hAnsi="Book Antiqua"/>
        </w:rPr>
        <w:t xml:space="preserve">Historical judgments abound, but </w:t>
      </w:r>
      <w:r w:rsidR="00E25066">
        <w:rPr>
          <w:rFonts w:ascii="Book Antiqua" w:hAnsi="Book Antiqua"/>
        </w:rPr>
        <w:t xml:space="preserve">rather histrionically </w:t>
      </w:r>
      <w:r w:rsidR="00D439C9">
        <w:rPr>
          <w:rFonts w:ascii="Book Antiqua" w:hAnsi="Book Antiqua"/>
        </w:rPr>
        <w:t>without any historians.</w:t>
      </w:r>
    </w:p>
    <w:p w:rsidR="00D439C9" w:rsidRDefault="00D439C9" w:rsidP="005E4EEA">
      <w:pPr>
        <w:tabs>
          <w:tab w:val="left" w:pos="0"/>
        </w:tabs>
        <w:spacing w:before="120" w:after="120"/>
        <w:rPr>
          <w:rFonts w:ascii="Book Antiqua" w:hAnsi="Book Antiqua"/>
        </w:rPr>
      </w:pPr>
      <w:r>
        <w:rPr>
          <w:rFonts w:ascii="Book Antiqua" w:hAnsi="Book Antiqua"/>
        </w:rPr>
        <w:tab/>
        <w:t xml:space="preserve">What makes this all seem so strange is </w:t>
      </w:r>
      <w:r w:rsidR="000E104B">
        <w:rPr>
          <w:rFonts w:ascii="Book Antiqua" w:hAnsi="Book Antiqua"/>
        </w:rPr>
        <w:t xml:space="preserve">the </w:t>
      </w:r>
      <w:r>
        <w:rPr>
          <w:rFonts w:ascii="Book Antiqua" w:hAnsi="Book Antiqua"/>
        </w:rPr>
        <w:t>stated insistence that “to understand the meaning of human sexuality we must let the data. . . speak.”</w:t>
      </w:r>
      <w:r>
        <w:rPr>
          <w:rStyle w:val="FootnoteReference"/>
          <w:rFonts w:ascii="Book Antiqua" w:hAnsi="Book Antiqua"/>
        </w:rPr>
        <w:footnoteReference w:id="132"/>
      </w:r>
      <w:r>
        <w:rPr>
          <w:rFonts w:ascii="Book Antiqua" w:hAnsi="Book Antiqua"/>
        </w:rPr>
        <w:t xml:space="preserve">  But what counts as ‘data’?  </w:t>
      </w:r>
      <w:r w:rsidR="00F50AF9">
        <w:rPr>
          <w:rFonts w:ascii="Book Antiqua" w:hAnsi="Book Antiqua"/>
        </w:rPr>
        <w:t>And h</w:t>
      </w:r>
      <w:r>
        <w:rPr>
          <w:rFonts w:ascii="Book Antiqua" w:hAnsi="Book Antiqua"/>
        </w:rPr>
        <w:t>ere, the key to the foregoing assertion, of course, is the ellipsis:  “</w:t>
      </w:r>
      <w:r w:rsidR="00B64C1D">
        <w:rPr>
          <w:rFonts w:ascii="Book Antiqua" w:hAnsi="Book Antiqua"/>
        </w:rPr>
        <w:t xml:space="preserve">-- </w:t>
      </w:r>
      <w:r>
        <w:rPr>
          <w:rFonts w:ascii="Book Antiqua" w:hAnsi="Book Antiqua"/>
        </w:rPr>
        <w:t>both phenomenological and ontological</w:t>
      </w:r>
      <w:r w:rsidR="00B64C1D">
        <w:rPr>
          <w:rFonts w:ascii="Book Antiqua" w:hAnsi="Book Antiqua"/>
        </w:rPr>
        <w:t xml:space="preserve"> </w:t>
      </w:r>
      <w:r w:rsidR="00F51757">
        <w:rPr>
          <w:rFonts w:ascii="Book Antiqua" w:hAnsi="Book Antiqua"/>
        </w:rPr>
        <w:t>–</w:t>
      </w:r>
      <w:r w:rsidR="00B64C1D">
        <w:rPr>
          <w:rFonts w:ascii="Book Antiqua" w:hAnsi="Book Antiqua"/>
        </w:rPr>
        <w:t xml:space="preserve"> </w:t>
      </w:r>
      <w:r w:rsidR="00F95B76">
        <w:rPr>
          <w:rFonts w:ascii="Book Antiqua" w:hAnsi="Book Antiqua"/>
        </w:rPr>
        <w:t>”</w:t>
      </w:r>
      <w:r w:rsidR="00F51757">
        <w:rPr>
          <w:rFonts w:ascii="Book Antiqua" w:hAnsi="Book Antiqua"/>
        </w:rPr>
        <w:t>.</w:t>
      </w:r>
      <w:r w:rsidR="00C02354">
        <w:rPr>
          <w:rFonts w:ascii="Book Antiqua" w:hAnsi="Book Antiqua"/>
        </w:rPr>
        <w:t xml:space="preserve">  What need of </w:t>
      </w:r>
      <w:r w:rsidR="00C02354" w:rsidRPr="00570CEA">
        <w:rPr>
          <w:rFonts w:ascii="Book Antiqua" w:hAnsi="Book Antiqua"/>
          <w:i/>
        </w:rPr>
        <w:t>empirical</w:t>
      </w:r>
      <w:r w:rsidR="00C02354">
        <w:rPr>
          <w:rFonts w:ascii="Book Antiqua" w:hAnsi="Book Antiqua"/>
        </w:rPr>
        <w:t xml:space="preserve"> data, when one has </w:t>
      </w:r>
      <w:r w:rsidR="009609CF">
        <w:rPr>
          <w:rFonts w:ascii="Book Antiqua" w:hAnsi="Book Antiqua"/>
        </w:rPr>
        <w:t>John Paul’s elucidation of his ‘immediate intuition’</w:t>
      </w:r>
      <w:r w:rsidR="00C02354">
        <w:rPr>
          <w:rFonts w:ascii="Book Antiqua" w:hAnsi="Book Antiqua"/>
        </w:rPr>
        <w:t xml:space="preserve"> into the meaning of </w:t>
      </w:r>
      <w:r w:rsidR="00C02354" w:rsidRPr="008456E4">
        <w:rPr>
          <w:rFonts w:ascii="Book Antiqua" w:hAnsi="Book Antiqua"/>
          <w:i/>
        </w:rPr>
        <w:t>the</w:t>
      </w:r>
      <w:r w:rsidR="00C02354">
        <w:rPr>
          <w:rFonts w:ascii="Book Antiqua" w:hAnsi="Book Antiqua"/>
        </w:rPr>
        <w:t xml:space="preserve"> body?  What need, either, to inquire whether </w:t>
      </w:r>
      <w:r w:rsidR="008456E4">
        <w:rPr>
          <w:rFonts w:ascii="Book Antiqua" w:hAnsi="Book Antiqua"/>
        </w:rPr>
        <w:t xml:space="preserve">  </w:t>
      </w:r>
      <w:r w:rsidR="00C02354">
        <w:rPr>
          <w:rFonts w:ascii="Book Antiqua" w:hAnsi="Book Antiqua"/>
        </w:rPr>
        <w:t xml:space="preserve">other persons might have other ‘intuitions’ into the meaning of </w:t>
      </w:r>
      <w:r w:rsidR="00C02354" w:rsidRPr="00F51757">
        <w:rPr>
          <w:rFonts w:ascii="Book Antiqua" w:hAnsi="Book Antiqua"/>
          <w:i/>
        </w:rPr>
        <w:t>their own</w:t>
      </w:r>
      <w:r w:rsidR="00C02354">
        <w:rPr>
          <w:rFonts w:ascii="Book Antiqua" w:hAnsi="Book Antiqua"/>
        </w:rPr>
        <w:t xml:space="preserve"> bodies</w:t>
      </w:r>
      <w:r w:rsidR="00570CEA">
        <w:rPr>
          <w:rFonts w:ascii="Book Antiqua" w:hAnsi="Book Antiqua"/>
        </w:rPr>
        <w:t xml:space="preserve">, other understandings of the </w:t>
      </w:r>
      <w:r w:rsidR="00570CEA" w:rsidRPr="00F51757">
        <w:rPr>
          <w:rFonts w:ascii="Book Antiqua" w:hAnsi="Book Antiqua"/>
          <w:i/>
        </w:rPr>
        <w:t>data</w:t>
      </w:r>
      <w:r w:rsidR="00570CEA">
        <w:rPr>
          <w:rFonts w:ascii="Book Antiqua" w:hAnsi="Book Antiqua"/>
        </w:rPr>
        <w:t xml:space="preserve"> of their own consciousness?</w:t>
      </w:r>
    </w:p>
    <w:p w:rsidR="00570CEA" w:rsidRDefault="00570CEA" w:rsidP="005E4EEA">
      <w:pPr>
        <w:tabs>
          <w:tab w:val="left" w:pos="0"/>
        </w:tabs>
        <w:spacing w:before="120" w:after="120"/>
        <w:rPr>
          <w:rFonts w:ascii="Book Antiqua" w:hAnsi="Book Antiqua"/>
        </w:rPr>
      </w:pPr>
      <w:r>
        <w:rPr>
          <w:rFonts w:ascii="Book Antiqua" w:hAnsi="Book Antiqua"/>
        </w:rPr>
        <w:tab/>
        <w:t>It all hinges on what one means by ‘nature,’ and whether understanding ‘nature’ is the limited preserve of phenomen</w:t>
      </w:r>
      <w:r w:rsidR="00F10DCB">
        <w:rPr>
          <w:rFonts w:ascii="Book Antiqua" w:hAnsi="Book Antiqua"/>
        </w:rPr>
        <w:t>ologists and ontologists, a</w:t>
      </w:r>
      <w:r>
        <w:rPr>
          <w:rFonts w:ascii="Book Antiqua" w:hAnsi="Book Antiqua"/>
        </w:rPr>
        <w:t>nd, even of these, only those from ‘schools’ which receive current ecclesiastical approbation.</w:t>
      </w:r>
      <w:r w:rsidR="002B3348">
        <w:rPr>
          <w:rStyle w:val="FootnoteReference"/>
          <w:rFonts w:ascii="Book Antiqua" w:hAnsi="Book Antiqua"/>
        </w:rPr>
        <w:footnoteReference w:id="133"/>
      </w:r>
      <w:r w:rsidR="00E869CA">
        <w:rPr>
          <w:rFonts w:ascii="Book Antiqua" w:hAnsi="Book Antiqua"/>
        </w:rPr>
        <w:t xml:space="preserve">  But what if nature is stranger, more mysterious, than is perceived by such approved authors?  What if there are more ‘divers fruits’ than those growing in the Vatican gardens?  Would it not be wise to ask a botanist?</w:t>
      </w:r>
    </w:p>
    <w:p w:rsidR="00E869CA" w:rsidRDefault="00E869CA" w:rsidP="005E4EEA">
      <w:pPr>
        <w:tabs>
          <w:tab w:val="left" w:pos="0"/>
        </w:tabs>
        <w:spacing w:before="120" w:after="120"/>
        <w:rPr>
          <w:rFonts w:ascii="Book Antiqua" w:hAnsi="Book Antiqua"/>
        </w:rPr>
      </w:pPr>
      <w:r>
        <w:rPr>
          <w:rFonts w:ascii="Book Antiqua" w:hAnsi="Book Antiqua"/>
        </w:rPr>
        <w:tab/>
        <w:t>There is endemic trivialization in modern life – as I suspect there was in pre-modern and will be in post-modern</w:t>
      </w:r>
      <w:r w:rsidR="00F51757">
        <w:rPr>
          <w:rFonts w:ascii="Book Antiqua" w:hAnsi="Book Antiqua"/>
        </w:rPr>
        <w:t xml:space="preserve"> life</w:t>
      </w:r>
      <w:r>
        <w:rPr>
          <w:rFonts w:ascii="Book Antiqua" w:hAnsi="Book Antiqua"/>
        </w:rPr>
        <w:t>.  But there is endemic mystification, too, as there long has been and long will be.  It is attentiveness to Mystery, in both understanding and living, that assists avoidance of trivialization.  B</w:t>
      </w:r>
      <w:r w:rsidR="001A376E">
        <w:rPr>
          <w:rFonts w:ascii="Book Antiqua" w:hAnsi="Book Antiqua"/>
        </w:rPr>
        <w:t>ut it is also attentiveness to nature,</w:t>
      </w:r>
      <w:r>
        <w:rPr>
          <w:rFonts w:ascii="Book Antiqua" w:hAnsi="Book Antiqua"/>
        </w:rPr>
        <w:t xml:space="preserve"> </w:t>
      </w:r>
      <w:r w:rsidR="007A1BF2">
        <w:rPr>
          <w:rFonts w:ascii="Book Antiqua" w:hAnsi="Book Antiqua"/>
        </w:rPr>
        <w:t xml:space="preserve">again </w:t>
      </w:r>
      <w:r w:rsidR="0032368A">
        <w:rPr>
          <w:rFonts w:ascii="Book Antiqua" w:hAnsi="Book Antiqua"/>
        </w:rPr>
        <w:t>both intellectual and existential</w:t>
      </w:r>
      <w:r w:rsidR="007A1BF2">
        <w:rPr>
          <w:rFonts w:ascii="Book Antiqua" w:hAnsi="Book Antiqua"/>
        </w:rPr>
        <w:t>, that assists avoidance of mystification.</w:t>
      </w:r>
    </w:p>
    <w:p w:rsidR="00575A71" w:rsidRDefault="004E721E" w:rsidP="002B3348">
      <w:pPr>
        <w:tabs>
          <w:tab w:val="left" w:pos="0"/>
        </w:tabs>
        <w:spacing w:before="120" w:after="120"/>
        <w:rPr>
          <w:rFonts w:ascii="Book Antiqua" w:hAnsi="Book Antiqua"/>
        </w:rPr>
      </w:pPr>
      <w:r>
        <w:rPr>
          <w:rFonts w:ascii="Book Antiqua" w:hAnsi="Book Antiqua"/>
        </w:rPr>
        <w:tab/>
        <w:t>In terms of my quadral model, the further one goes in ‘Nature’ away from ‘Mystery,’ the nearer one approaches ‘</w:t>
      </w:r>
      <w:r w:rsidR="00865AE8">
        <w:rPr>
          <w:rFonts w:ascii="Book Antiqua" w:hAnsi="Book Antiqua"/>
        </w:rPr>
        <w:t xml:space="preserve">Trivialization;’ </w:t>
      </w:r>
      <w:r>
        <w:rPr>
          <w:rFonts w:ascii="Book Antiqua" w:hAnsi="Book Antiqua"/>
        </w:rPr>
        <w:t>the further one goes in ‘Mystery’ away from ‘Nature,’ the near</w:t>
      </w:r>
      <w:r w:rsidR="000E104B">
        <w:rPr>
          <w:rFonts w:ascii="Book Antiqua" w:hAnsi="Book Antiqua"/>
        </w:rPr>
        <w:t>er</w:t>
      </w:r>
      <w:r>
        <w:rPr>
          <w:rFonts w:ascii="Book Antiqua" w:hAnsi="Book Antiqua"/>
        </w:rPr>
        <w:t xml:space="preserve"> one approaches ‘Mystification.’  And</w:t>
      </w:r>
      <w:r w:rsidR="00865AE8">
        <w:rPr>
          <w:rFonts w:ascii="Book Antiqua" w:hAnsi="Book Antiqua"/>
        </w:rPr>
        <w:t>, significantly, the more one ‘M</w:t>
      </w:r>
      <w:r>
        <w:rPr>
          <w:rFonts w:ascii="Book Antiqua" w:hAnsi="Book Antiqua"/>
        </w:rPr>
        <w:t>ystif</w:t>
      </w:r>
      <w:r w:rsidR="00865AE8">
        <w:rPr>
          <w:rFonts w:ascii="Book Antiqua" w:hAnsi="Book Antiqua"/>
        </w:rPr>
        <w:t>ies,’ the closer one comes to ‘T</w:t>
      </w:r>
      <w:r>
        <w:rPr>
          <w:rFonts w:ascii="Book Antiqua" w:hAnsi="Book Antiqua"/>
        </w:rPr>
        <w:t>rivialization’ from the othe</w:t>
      </w:r>
      <w:r w:rsidR="002B3348">
        <w:rPr>
          <w:rFonts w:ascii="Book Antiqua" w:hAnsi="Book Antiqua"/>
        </w:rPr>
        <w:t>r side.  But</w:t>
      </w:r>
      <w:r>
        <w:rPr>
          <w:rFonts w:ascii="Book Antiqua" w:hAnsi="Book Antiqua"/>
        </w:rPr>
        <w:t xml:space="preserve"> the further one proceed</w:t>
      </w:r>
      <w:r w:rsidR="00865AE8">
        <w:rPr>
          <w:rFonts w:ascii="Book Antiqua" w:hAnsi="Book Antiqua"/>
        </w:rPr>
        <w:t>s along the way of ‘T</w:t>
      </w:r>
      <w:r>
        <w:rPr>
          <w:rFonts w:ascii="Book Antiqua" w:hAnsi="Book Antiqua"/>
        </w:rPr>
        <w:t>rivialization,’ t</w:t>
      </w:r>
      <w:r w:rsidR="00865AE8">
        <w:rPr>
          <w:rFonts w:ascii="Book Antiqua" w:hAnsi="Book Antiqua"/>
        </w:rPr>
        <w:t>he more one is susceptible to ‘M</w:t>
      </w:r>
      <w:r>
        <w:rPr>
          <w:rFonts w:ascii="Book Antiqua" w:hAnsi="Book Antiqua"/>
        </w:rPr>
        <w:t>ystification</w:t>
      </w:r>
      <w:r w:rsidR="002B3348">
        <w:rPr>
          <w:rFonts w:ascii="Book Antiqua" w:hAnsi="Book Antiqua"/>
        </w:rPr>
        <w:t>,’ from another angle.</w:t>
      </w:r>
    </w:p>
    <w:p w:rsidR="002B3348" w:rsidRDefault="00371E86" w:rsidP="002B3348">
      <w:pPr>
        <w:tabs>
          <w:tab w:val="left" w:pos="0"/>
        </w:tabs>
        <w:spacing w:before="120" w:after="120"/>
        <w:rPr>
          <w:rFonts w:ascii="Book Antiqua" w:hAnsi="Book Antiqua"/>
        </w:rPr>
      </w:pPr>
      <w:r>
        <w:rPr>
          <w:rFonts w:ascii="Book Antiqua" w:hAnsi="Book Antiqua"/>
        </w:rPr>
        <w:tab/>
        <w:t>A textual test of my interpretation comes in Chapter Four, “The Dynamism of Nuptiality:  Affection, Love, and Sexuality,”</w:t>
      </w:r>
      <w:r w:rsidR="0095584F">
        <w:rPr>
          <w:rStyle w:val="FootnoteReference"/>
          <w:rFonts w:ascii="Book Antiqua" w:hAnsi="Book Antiqua"/>
        </w:rPr>
        <w:footnoteReference w:id="134"/>
      </w:r>
      <w:r>
        <w:rPr>
          <w:rFonts w:ascii="Book Antiqua" w:hAnsi="Book Antiqua"/>
        </w:rPr>
        <w:t xml:space="preserve"> which I find to be both the most insightful and beautiful in the book.  </w:t>
      </w:r>
      <w:r w:rsidR="00B73AB3">
        <w:rPr>
          <w:rFonts w:ascii="Book Antiqua" w:hAnsi="Book Antiqua"/>
        </w:rPr>
        <w:t xml:space="preserve">But a strange thing happens on the way from insight to beauty.  </w:t>
      </w:r>
      <w:r>
        <w:rPr>
          <w:rFonts w:ascii="Book Antiqua" w:hAnsi="Book Antiqua"/>
        </w:rPr>
        <w:t xml:space="preserve">Cardinal </w:t>
      </w:r>
      <w:r>
        <w:rPr>
          <w:rFonts w:ascii="Book Antiqua" w:hAnsi="Book Antiqua"/>
        </w:rPr>
        <w:lastRenderedPageBreak/>
        <w:t>Scola begins with a close textual reading of Aquinas’s understanding of affection</w:t>
      </w:r>
      <w:r w:rsidR="003F504F">
        <w:rPr>
          <w:rFonts w:ascii="Book Antiqua" w:hAnsi="Book Antiqua"/>
        </w:rPr>
        <w:t>, and proceeds to a reiteration of the central themes of nuptial theology – the former pertaining to ‘Nature,’ the latter to ‘Mystery.’</w:t>
      </w:r>
      <w:r w:rsidR="0095584F">
        <w:rPr>
          <w:rFonts w:ascii="Book Antiqua" w:hAnsi="Book Antiqua"/>
        </w:rPr>
        <w:t xml:space="preserve">  </w:t>
      </w:r>
      <w:r w:rsidR="00F06E8B">
        <w:rPr>
          <w:rFonts w:ascii="Book Antiqua" w:hAnsi="Book Antiqua"/>
        </w:rPr>
        <w:t xml:space="preserve">Affection is understood as a dynamic movement beginning in </w:t>
      </w:r>
      <w:r w:rsidR="00F06E8B" w:rsidRPr="00F06E8B">
        <w:rPr>
          <w:rFonts w:ascii="Book Antiqua" w:hAnsi="Book Antiqua"/>
          <w:i/>
        </w:rPr>
        <w:t>immutatio</w:t>
      </w:r>
      <w:r w:rsidR="00F06E8B">
        <w:rPr>
          <w:rFonts w:ascii="Book Antiqua" w:hAnsi="Book Antiqua"/>
        </w:rPr>
        <w:t xml:space="preserve">, a transformation of the person, visible to others, that one ‘suffers’ resultant from the awakening of desire.  In </w:t>
      </w:r>
      <w:r w:rsidR="00F06E8B" w:rsidRPr="00EC1381">
        <w:rPr>
          <w:rFonts w:ascii="Book Antiqua" w:hAnsi="Book Antiqua"/>
          <w:i/>
        </w:rPr>
        <w:t>coaptatio</w:t>
      </w:r>
      <w:r w:rsidR="00F06E8B">
        <w:rPr>
          <w:rFonts w:ascii="Book Antiqua" w:hAnsi="Book Antiqua"/>
        </w:rPr>
        <w:t>, that transformation has worked a harmony between the person and desirable/desired object.</w:t>
      </w:r>
      <w:r w:rsidR="00EC1381">
        <w:rPr>
          <w:rFonts w:ascii="Book Antiqua" w:hAnsi="Book Antiqua"/>
        </w:rPr>
        <w:t xml:space="preserve">  There follows </w:t>
      </w:r>
      <w:r w:rsidR="00EC1381" w:rsidRPr="00EC1381">
        <w:rPr>
          <w:rFonts w:ascii="Book Antiqua" w:hAnsi="Book Antiqua"/>
          <w:i/>
        </w:rPr>
        <w:t>complacentia</w:t>
      </w:r>
      <w:r w:rsidR="00EC1381">
        <w:rPr>
          <w:rFonts w:ascii="Book Antiqua" w:hAnsi="Book Antiqua"/>
        </w:rPr>
        <w:t>, natural love (</w:t>
      </w:r>
      <w:r w:rsidR="00EC1381" w:rsidRPr="00EC1381">
        <w:rPr>
          <w:rFonts w:ascii="Book Antiqua" w:hAnsi="Book Antiqua"/>
          <w:i/>
        </w:rPr>
        <w:t>amor naturalis</w:t>
      </w:r>
      <w:r w:rsidR="00EC1381">
        <w:rPr>
          <w:rFonts w:ascii="Book Antiqua" w:hAnsi="Book Antiqua"/>
        </w:rPr>
        <w:t xml:space="preserve">), which is genuine love, but emerges prior to engagement of the will, prior to the person’s choosing.  </w:t>
      </w:r>
      <w:r w:rsidR="00EC1381" w:rsidRPr="00EC1381">
        <w:rPr>
          <w:rFonts w:ascii="Book Antiqua" w:hAnsi="Book Antiqua"/>
          <w:i/>
        </w:rPr>
        <w:t>Intentio</w:t>
      </w:r>
      <w:r w:rsidR="00EC1381">
        <w:rPr>
          <w:rFonts w:ascii="Book Antiqua" w:hAnsi="Book Antiqua"/>
        </w:rPr>
        <w:t xml:space="preserve"> is the subsequent voluntary engagement, the effective tending toward possession of the object of desire.  The culmination of this dynamic process is </w:t>
      </w:r>
      <w:r w:rsidR="00EC1381" w:rsidRPr="00EC1381">
        <w:rPr>
          <w:rFonts w:ascii="Book Antiqua" w:hAnsi="Book Antiqua"/>
          <w:i/>
        </w:rPr>
        <w:t>gaudium</w:t>
      </w:r>
      <w:r w:rsidR="00EC1381">
        <w:rPr>
          <w:rFonts w:ascii="Book Antiqua" w:hAnsi="Book Antiqua"/>
        </w:rPr>
        <w:t>, the joy in which one res</w:t>
      </w:r>
      <w:r w:rsidR="004A1ACE">
        <w:rPr>
          <w:rFonts w:ascii="Book Antiqua" w:hAnsi="Book Antiqua"/>
        </w:rPr>
        <w:t>ts in possession of the beloved, a reward well worth the initial ‘suffering.’</w:t>
      </w:r>
    </w:p>
    <w:p w:rsidR="00256350" w:rsidRDefault="000D5196" w:rsidP="002B3348">
      <w:pPr>
        <w:tabs>
          <w:tab w:val="left" w:pos="0"/>
        </w:tabs>
        <w:spacing w:before="120" w:after="120"/>
        <w:rPr>
          <w:rFonts w:ascii="Book Antiqua" w:hAnsi="Book Antiqua"/>
        </w:rPr>
      </w:pPr>
      <w:r>
        <w:rPr>
          <w:rFonts w:ascii="Book Antiqua" w:hAnsi="Book Antiqua"/>
        </w:rPr>
        <w:tab/>
        <w:t>Reading Cardinal Scola’s clear and moving presentation sent me scurrying back to the original text.</w:t>
      </w:r>
      <w:r>
        <w:rPr>
          <w:rStyle w:val="FootnoteReference"/>
          <w:rFonts w:ascii="Book Antiqua" w:hAnsi="Book Antiqua"/>
        </w:rPr>
        <w:footnoteReference w:id="135"/>
      </w:r>
      <w:r>
        <w:rPr>
          <w:rFonts w:ascii="Book Antiqua" w:hAnsi="Book Antiqua"/>
        </w:rPr>
        <w:t xml:space="preserve">  The influence of Aristotle is clear, but equally clear is that St. Thomas knew whereof he spoke.</w:t>
      </w:r>
      <w:r w:rsidR="00256350">
        <w:rPr>
          <w:rFonts w:ascii="Book Antiqua" w:hAnsi="Book Antiqua"/>
        </w:rPr>
        <w:t xml:space="preserve">  His prose here is ‘moving,’ because one senses that he, himself, has been ‘moved’ by the affection of which he writes.  There is attentiveness to ‘nature’ in this, both in seeking to understand the best ‘science’ available to him – which was Aristotle – and in seeking to understand what he himself had experienced</w:t>
      </w:r>
      <w:r w:rsidR="00F44B8D">
        <w:rPr>
          <w:rFonts w:ascii="Book Antiqua" w:hAnsi="Book Antiqua"/>
        </w:rPr>
        <w:t xml:space="preserve"> in the intentional movement of his own consciousness</w:t>
      </w:r>
      <w:r w:rsidR="00256350">
        <w:rPr>
          <w:rFonts w:ascii="Book Antiqua" w:hAnsi="Book Antiqua"/>
        </w:rPr>
        <w:t>.</w:t>
      </w:r>
    </w:p>
    <w:p w:rsidR="00F44B8D" w:rsidRDefault="00FE1897" w:rsidP="002B3348">
      <w:pPr>
        <w:tabs>
          <w:tab w:val="left" w:pos="0"/>
        </w:tabs>
        <w:spacing w:before="120" w:after="120"/>
        <w:rPr>
          <w:rFonts w:ascii="Book Antiqua" w:hAnsi="Book Antiqua"/>
        </w:rPr>
      </w:pPr>
      <w:r>
        <w:rPr>
          <w:rFonts w:ascii="Book Antiqua" w:hAnsi="Book Antiqua"/>
          <w:noProof/>
        </w:rPr>
        <w:pict>
          <v:shape id="_x0000_s1030" type="#_x0000_t32" style="position:absolute;margin-left:282.65pt;margin-top:7.25pt;width:10.7pt;height:0;z-index:251661312" o:connectortype="straight">
            <v:stroke endarrow="block"/>
          </v:shape>
        </w:pict>
      </w:r>
      <w:r w:rsidR="00F44B8D">
        <w:rPr>
          <w:rFonts w:ascii="Book Antiqua" w:hAnsi="Book Antiqua"/>
        </w:rPr>
        <w:tab/>
      </w:r>
      <w:r w:rsidR="00713E79">
        <w:rPr>
          <w:rFonts w:ascii="Book Antiqua" w:hAnsi="Book Antiqua"/>
        </w:rPr>
        <w:t>I</w:t>
      </w:r>
      <w:r w:rsidR="00F44B8D">
        <w:rPr>
          <w:rFonts w:ascii="Book Antiqua" w:hAnsi="Book Antiqua"/>
        </w:rPr>
        <w:t>t seemed clear th</w:t>
      </w:r>
      <w:r w:rsidR="00713E79">
        <w:rPr>
          <w:rFonts w:ascii="Book Antiqua" w:hAnsi="Book Antiqua"/>
        </w:rPr>
        <w:t xml:space="preserve">at here would emerge the Nature    </w:t>
      </w:r>
      <w:r w:rsidR="00F44B8D">
        <w:rPr>
          <w:rFonts w:ascii="Book Antiqua" w:hAnsi="Book Antiqua"/>
        </w:rPr>
        <w:t>Mystery nexus that I had found wanting in the rest of the book.  Indeed, the author teases to this effect by concluding section one of Chapter Four with the assertion that this Thomist analysis provides “the key for an adequate discussion of sexuality.”</w:t>
      </w:r>
      <w:r w:rsidR="00F44B8D">
        <w:rPr>
          <w:rStyle w:val="FootnoteReference"/>
          <w:rFonts w:ascii="Book Antiqua" w:hAnsi="Book Antiqua"/>
        </w:rPr>
        <w:footnoteReference w:id="136"/>
      </w:r>
      <w:r w:rsidR="00F44B8D">
        <w:rPr>
          <w:rFonts w:ascii="Book Antiqua" w:hAnsi="Book Antiqua"/>
        </w:rPr>
        <w:t xml:space="preserve">  But then one turns the page, enters upon discussion of nuptiality, and the strangest thing happens – more precisely, doesn’t happen:</w:t>
      </w:r>
      <w:r w:rsidR="00F44B8D">
        <w:rPr>
          <w:rStyle w:val="FootnoteReference"/>
          <w:rFonts w:ascii="Book Antiqua" w:hAnsi="Book Antiqua"/>
        </w:rPr>
        <w:footnoteReference w:id="137"/>
      </w:r>
      <w:r w:rsidR="00F44B8D">
        <w:rPr>
          <w:rFonts w:ascii="Book Antiqua" w:hAnsi="Book Antiqua"/>
        </w:rPr>
        <w:t xml:space="preserve">  he never ‘turns the key.’</w:t>
      </w:r>
      <w:r w:rsidR="002C1629">
        <w:rPr>
          <w:rFonts w:ascii="Book Antiqua" w:hAnsi="Book Antiqua"/>
        </w:rPr>
        <w:t xml:space="preserve">  One reads the next twelve pages, without encountering the slightest advertence to the </w:t>
      </w:r>
      <w:r w:rsidR="003B5EBE">
        <w:rPr>
          <w:rFonts w:ascii="Book Antiqua" w:hAnsi="Book Antiqua"/>
        </w:rPr>
        <w:t>preceding analysis.  There is ‘N</w:t>
      </w:r>
      <w:r w:rsidR="002C1629">
        <w:rPr>
          <w:rFonts w:ascii="Book Antiqua" w:hAnsi="Book Antiqua"/>
        </w:rPr>
        <w:t xml:space="preserve">ature,’ </w:t>
      </w:r>
      <w:r w:rsidR="00B43F16">
        <w:rPr>
          <w:rFonts w:ascii="Book Antiqua" w:hAnsi="Book Antiqua"/>
        </w:rPr>
        <w:t>and there is ‘Mystery,’ but there is a one-way ticket for travel between them.</w:t>
      </w:r>
      <w:r w:rsidR="002C1629">
        <w:rPr>
          <w:rFonts w:ascii="Book Antiqua" w:hAnsi="Book Antiqua"/>
        </w:rPr>
        <w:t xml:space="preserve">  Still, there is at least acknowledgment of the possibility of ‘natural’ inquiry</w:t>
      </w:r>
      <w:r w:rsidR="00B60411">
        <w:rPr>
          <w:rFonts w:ascii="Book Antiqua" w:hAnsi="Book Antiqua"/>
        </w:rPr>
        <w:t xml:space="preserve">, without the slightest taint of trivialization, even though the </w:t>
      </w:r>
      <w:r w:rsidR="002C1629">
        <w:rPr>
          <w:rFonts w:ascii="Book Antiqua" w:hAnsi="Book Antiqua"/>
        </w:rPr>
        <w:t xml:space="preserve">methodology </w:t>
      </w:r>
      <w:r w:rsidR="00B60411">
        <w:rPr>
          <w:rFonts w:ascii="Book Antiqua" w:hAnsi="Book Antiqua"/>
        </w:rPr>
        <w:t xml:space="preserve">of nuptial theology allows no </w:t>
      </w:r>
      <w:r w:rsidR="002C1629">
        <w:rPr>
          <w:rFonts w:ascii="Book Antiqua" w:hAnsi="Book Antiqua"/>
        </w:rPr>
        <w:t>value for that inquiry.</w:t>
      </w:r>
      <w:r w:rsidR="00B60411">
        <w:rPr>
          <w:rFonts w:ascii="Book Antiqua" w:hAnsi="Book Antiqua"/>
        </w:rPr>
        <w:t xml:space="preserve">  It, quite precisely, doesn’t know what to do with it.</w:t>
      </w:r>
    </w:p>
    <w:p w:rsidR="00F44B8D" w:rsidRDefault="00F44B8D" w:rsidP="002B3348">
      <w:pPr>
        <w:tabs>
          <w:tab w:val="left" w:pos="0"/>
        </w:tabs>
        <w:spacing w:before="120" w:after="120"/>
        <w:rPr>
          <w:rFonts w:ascii="Book Antiqua" w:hAnsi="Book Antiqua"/>
        </w:rPr>
      </w:pPr>
      <w:r>
        <w:rPr>
          <w:rFonts w:ascii="Book Antiqua" w:hAnsi="Book Antiqua"/>
        </w:rPr>
        <w:tab/>
      </w:r>
      <w:r w:rsidR="00713E79">
        <w:rPr>
          <w:rFonts w:ascii="Book Antiqua" w:hAnsi="Book Antiqua"/>
        </w:rPr>
        <w:t>A few, final, textual tidbits before moving on.</w:t>
      </w:r>
    </w:p>
    <w:p w:rsidR="0008586D" w:rsidRDefault="0008586D" w:rsidP="002B3348">
      <w:pPr>
        <w:tabs>
          <w:tab w:val="left" w:pos="0"/>
        </w:tabs>
        <w:spacing w:before="120" w:after="120"/>
        <w:rPr>
          <w:rFonts w:ascii="Book Antiqua" w:hAnsi="Book Antiqua"/>
        </w:rPr>
      </w:pPr>
      <w:r>
        <w:rPr>
          <w:rFonts w:ascii="Book Antiqua" w:hAnsi="Book Antiqua"/>
        </w:rPr>
        <w:tab/>
        <w:t>The impetus toward evocative rhetoric, rather than clear analysis, shines forth in the following:  “There is not a single man (or woman) who can by himself alone be the whole of man.”</w:t>
      </w:r>
      <w:r>
        <w:rPr>
          <w:rStyle w:val="FootnoteReference"/>
          <w:rFonts w:ascii="Book Antiqua" w:hAnsi="Book Antiqua"/>
        </w:rPr>
        <w:footnoteReference w:id="138"/>
      </w:r>
      <w:r>
        <w:rPr>
          <w:rFonts w:ascii="Book Antiqua" w:hAnsi="Book Antiqua"/>
        </w:rPr>
        <w:t xml:space="preserve">  To one not rhetorically swayed, the question might occur, ‘is there a single hetero</w:t>
      </w:r>
      <w:r w:rsidR="00E67262">
        <w:rPr>
          <w:rFonts w:ascii="Book Antiqua" w:hAnsi="Book Antiqua"/>
        </w:rPr>
        <w:t>-</w:t>
      </w:r>
      <w:r>
        <w:rPr>
          <w:rFonts w:ascii="Book Antiqua" w:hAnsi="Book Antiqua"/>
        </w:rPr>
        <w:t xml:space="preserve">sexual couple that </w:t>
      </w:r>
      <w:r w:rsidRPr="0008586D">
        <w:rPr>
          <w:rFonts w:ascii="Book Antiqua" w:hAnsi="Book Antiqua"/>
          <w:i/>
        </w:rPr>
        <w:t>is</w:t>
      </w:r>
      <w:r>
        <w:rPr>
          <w:rFonts w:ascii="Book Antiqua" w:hAnsi="Book Antiqua"/>
        </w:rPr>
        <w:t xml:space="preserve"> the whole of man?’  I’m not from Missouri</w:t>
      </w:r>
      <w:r w:rsidR="001B3E7F">
        <w:rPr>
          <w:rFonts w:ascii="Book Antiqua" w:hAnsi="Book Antiqua"/>
        </w:rPr>
        <w:t>,</w:t>
      </w:r>
      <w:r w:rsidR="001B3E7F">
        <w:rPr>
          <w:rStyle w:val="FootnoteReference"/>
          <w:rFonts w:ascii="Book Antiqua" w:hAnsi="Book Antiqua"/>
        </w:rPr>
        <w:footnoteReference w:id="139"/>
      </w:r>
      <w:r w:rsidR="001B3E7F">
        <w:rPr>
          <w:rFonts w:ascii="Book Antiqua" w:hAnsi="Book Antiqua"/>
        </w:rPr>
        <w:t xml:space="preserve"> </w:t>
      </w:r>
      <w:r>
        <w:rPr>
          <w:rFonts w:ascii="Book Antiqua" w:hAnsi="Book Antiqua"/>
        </w:rPr>
        <w:t xml:space="preserve">but my empirical bent still </w:t>
      </w:r>
      <w:r>
        <w:rPr>
          <w:rFonts w:ascii="Book Antiqua" w:hAnsi="Book Antiqua"/>
        </w:rPr>
        <w:lastRenderedPageBreak/>
        <w:t>says, ‘show me.’</w:t>
      </w:r>
      <w:r w:rsidR="003C5227">
        <w:rPr>
          <w:rFonts w:ascii="Book Antiqua" w:hAnsi="Book Antiqua"/>
        </w:rPr>
        <w:t xml:space="preserve">  And Cardinal Scola later </w:t>
      </w:r>
      <w:r w:rsidR="00E67262">
        <w:rPr>
          <w:rFonts w:ascii="Book Antiqua" w:hAnsi="Book Antiqua"/>
        </w:rPr>
        <w:t xml:space="preserve">proceeds to decry </w:t>
      </w:r>
      <w:r w:rsidR="003C5227">
        <w:rPr>
          <w:rFonts w:ascii="Book Antiqua" w:hAnsi="Book Antiqua"/>
        </w:rPr>
        <w:t>the contemporary “quasi-mythical exaltation of the couple.”</w:t>
      </w:r>
      <w:r w:rsidR="003C5227">
        <w:rPr>
          <w:rStyle w:val="FootnoteReference"/>
          <w:rFonts w:ascii="Book Antiqua" w:hAnsi="Book Antiqua"/>
        </w:rPr>
        <w:footnoteReference w:id="140"/>
      </w:r>
      <w:r w:rsidR="003C5227">
        <w:rPr>
          <w:rFonts w:ascii="Book Antiqua" w:hAnsi="Book Antiqua"/>
        </w:rPr>
        <w:t xml:space="preserve">  Hmmm?</w:t>
      </w:r>
    </w:p>
    <w:p w:rsidR="00BE1970" w:rsidRDefault="003C5227" w:rsidP="00460EC7">
      <w:pPr>
        <w:tabs>
          <w:tab w:val="left" w:pos="0"/>
        </w:tabs>
        <w:spacing w:before="120" w:after="120"/>
        <w:rPr>
          <w:rFonts w:ascii="Book Antiqua" w:hAnsi="Book Antiqua"/>
        </w:rPr>
      </w:pPr>
      <w:r>
        <w:rPr>
          <w:rFonts w:ascii="Book Antiqua" w:hAnsi="Book Antiqua"/>
        </w:rPr>
        <w:tab/>
      </w:r>
      <w:r w:rsidR="00460EC7">
        <w:rPr>
          <w:rFonts w:ascii="Book Antiqua" w:hAnsi="Book Antiqua"/>
        </w:rPr>
        <w:t>In positing the erosion of cultural sensibility in the 1990s, and then the anthropological mutation of the following decade, he asserts that these radical changes undermined “the very grammar and syntax of the human person and of authentic community.”</w:t>
      </w:r>
      <w:r w:rsidR="00460EC7">
        <w:rPr>
          <w:rStyle w:val="FootnoteReference"/>
          <w:rFonts w:ascii="Book Antiqua" w:hAnsi="Book Antiqua"/>
        </w:rPr>
        <w:footnoteReference w:id="141"/>
      </w:r>
      <w:r w:rsidR="00460EC7">
        <w:rPr>
          <w:rFonts w:ascii="Book Antiqua" w:hAnsi="Book Antiqua"/>
        </w:rPr>
        <w:t xml:space="preserve">  I note thi</w:t>
      </w:r>
      <w:r w:rsidR="00157CFC">
        <w:rPr>
          <w:rFonts w:ascii="Book Antiqua" w:hAnsi="Book Antiqua"/>
        </w:rPr>
        <w:t xml:space="preserve">s simply to underscore again </w:t>
      </w:r>
      <w:r w:rsidR="003862DF">
        <w:rPr>
          <w:rFonts w:ascii="Book Antiqua" w:hAnsi="Book Antiqua"/>
        </w:rPr>
        <w:t>the</w:t>
      </w:r>
      <w:r w:rsidR="00460EC7">
        <w:rPr>
          <w:rFonts w:ascii="Book Antiqua" w:hAnsi="Book Antiqua"/>
        </w:rPr>
        <w:t xml:space="preserve"> recurring fondness for </w:t>
      </w:r>
      <w:r w:rsidR="00460EC7" w:rsidRPr="00460EC7">
        <w:rPr>
          <w:rFonts w:ascii="Book Antiqua" w:hAnsi="Book Antiqua"/>
          <w:i/>
        </w:rPr>
        <w:t>the</w:t>
      </w:r>
      <w:r w:rsidR="00460EC7">
        <w:rPr>
          <w:rFonts w:ascii="Book Antiqua" w:hAnsi="Book Antiqua"/>
        </w:rPr>
        <w:t xml:space="preserve"> definite article:  </w:t>
      </w:r>
      <w:r w:rsidR="00460EC7" w:rsidRPr="00460EC7">
        <w:rPr>
          <w:rFonts w:ascii="Book Antiqua" w:hAnsi="Book Antiqua"/>
          <w:u w:val="single"/>
        </w:rPr>
        <w:t>the</w:t>
      </w:r>
      <w:r w:rsidR="00460EC7">
        <w:rPr>
          <w:rFonts w:ascii="Book Antiqua" w:hAnsi="Book Antiqua"/>
        </w:rPr>
        <w:t xml:space="preserve"> grammar and syntax of </w:t>
      </w:r>
      <w:r w:rsidR="00460EC7" w:rsidRPr="00460EC7">
        <w:rPr>
          <w:rFonts w:ascii="Book Antiqua" w:hAnsi="Book Antiqua"/>
          <w:u w:val="single"/>
        </w:rPr>
        <w:t>the</w:t>
      </w:r>
      <w:r w:rsidR="00460EC7">
        <w:rPr>
          <w:rFonts w:ascii="Book Antiqua" w:hAnsi="Book Antiqua"/>
        </w:rPr>
        <w:t xml:space="preserve"> human person.</w:t>
      </w:r>
      <w:r w:rsidR="005C7FC5">
        <w:rPr>
          <w:rFonts w:ascii="Book Antiqua" w:hAnsi="Book Antiqua"/>
        </w:rPr>
        <w:t xml:space="preserve">  It seems a strange image/metaphor for the point he is trying to make; there are, after all, </w:t>
      </w:r>
      <w:r w:rsidR="005C7FC5" w:rsidRPr="005C7FC5">
        <w:rPr>
          <w:rFonts w:ascii="Book Antiqua" w:hAnsi="Book Antiqua"/>
          <w:i/>
        </w:rPr>
        <w:t>many</w:t>
      </w:r>
      <w:r w:rsidR="005C7FC5">
        <w:rPr>
          <w:rFonts w:ascii="Book Antiqua" w:hAnsi="Book Antiqua"/>
        </w:rPr>
        <w:t xml:space="preserve"> languages, </w:t>
      </w:r>
      <w:r w:rsidR="005C7FC5" w:rsidRPr="005C7FC5">
        <w:rPr>
          <w:rFonts w:ascii="Book Antiqua" w:hAnsi="Book Antiqua"/>
          <w:i/>
        </w:rPr>
        <w:t>many</w:t>
      </w:r>
      <w:r w:rsidR="005C7FC5">
        <w:rPr>
          <w:rFonts w:ascii="Book Antiqua" w:hAnsi="Book Antiqua"/>
        </w:rPr>
        <w:t xml:space="preserve"> grammars.  Even he, in a different context, notes later that there is a “continual evolution of language.”</w:t>
      </w:r>
      <w:r w:rsidR="005C7FC5">
        <w:rPr>
          <w:rStyle w:val="FootnoteReference"/>
          <w:rFonts w:ascii="Book Antiqua" w:hAnsi="Book Antiqua"/>
        </w:rPr>
        <w:footnoteReference w:id="142"/>
      </w:r>
      <w:r w:rsidR="005C7FC5">
        <w:rPr>
          <w:rFonts w:ascii="Book Antiqua" w:hAnsi="Book Antiqua"/>
        </w:rPr>
        <w:t xml:space="preserve">  If one takes the image seriously, as phantasm, might not questions lead to the insight that heterosexual-love and homosexual-love are different grammars – to be sure, both Romance languages – with the concomitant question as to whether our current concern might possibly </w:t>
      </w:r>
      <w:r w:rsidR="009B05ED">
        <w:rPr>
          <w:rFonts w:ascii="Book Antiqua" w:hAnsi="Book Antiqua"/>
        </w:rPr>
        <w:t>be evidence of the very ‘continual evolution of languag</w:t>
      </w:r>
      <w:r w:rsidR="002A7EE3">
        <w:rPr>
          <w:rFonts w:ascii="Book Antiqua" w:hAnsi="Book Antiqua"/>
        </w:rPr>
        <w:t>e’ which he has posited?</w:t>
      </w:r>
      <w:r w:rsidR="002E6922">
        <w:rPr>
          <w:rFonts w:ascii="Book Antiqua" w:hAnsi="Book Antiqua"/>
        </w:rPr>
        <w:t xml:space="preserve">  The questions seem to leap </w:t>
      </w:r>
      <w:r w:rsidR="002E6922" w:rsidRPr="002E6922">
        <w:rPr>
          <w:rFonts w:ascii="Book Antiqua" w:hAnsi="Book Antiqua"/>
          <w:i/>
        </w:rPr>
        <w:t>from</w:t>
      </w:r>
      <w:r w:rsidR="002E6922">
        <w:rPr>
          <w:rFonts w:ascii="Book Antiqua" w:hAnsi="Book Antiqua"/>
        </w:rPr>
        <w:t xml:space="preserve"> the text.  But certainly not</w:t>
      </w:r>
      <w:r w:rsidR="002E6922" w:rsidRPr="002E6922">
        <w:rPr>
          <w:rFonts w:ascii="Book Antiqua" w:hAnsi="Book Antiqua"/>
          <w:i/>
        </w:rPr>
        <w:t xml:space="preserve"> in</w:t>
      </w:r>
      <w:r w:rsidR="002E6922">
        <w:rPr>
          <w:rFonts w:ascii="Book Antiqua" w:hAnsi="Book Antiqua"/>
        </w:rPr>
        <w:t xml:space="preserve"> it.</w:t>
      </w:r>
    </w:p>
    <w:p w:rsidR="00EF150E" w:rsidRDefault="009B05ED" w:rsidP="00460EC7">
      <w:pPr>
        <w:tabs>
          <w:tab w:val="left" w:pos="0"/>
        </w:tabs>
        <w:spacing w:before="120" w:after="120"/>
        <w:rPr>
          <w:rFonts w:ascii="Book Antiqua" w:hAnsi="Book Antiqua"/>
        </w:rPr>
      </w:pPr>
      <w:r>
        <w:rPr>
          <w:rFonts w:ascii="Book Antiqua" w:hAnsi="Book Antiqua"/>
        </w:rPr>
        <w:tab/>
        <w:t>Returning to Aquinas, Cardinal Scola notes that the Angelic Doctor posited “natural inclinations as one of the orienting foundations of natural law.”</w:t>
      </w:r>
      <w:r>
        <w:rPr>
          <w:rStyle w:val="FootnoteReference"/>
          <w:rFonts w:ascii="Book Antiqua" w:hAnsi="Book Antiqua"/>
        </w:rPr>
        <w:footnoteReference w:id="143"/>
      </w:r>
      <w:r>
        <w:rPr>
          <w:rFonts w:ascii="Book Antiqua" w:hAnsi="Book Antiqua"/>
        </w:rPr>
        <w:t xml:space="preserve">  Given that the notion of sexual </w:t>
      </w:r>
      <w:r w:rsidRPr="009B05ED">
        <w:rPr>
          <w:rFonts w:ascii="Book Antiqua" w:hAnsi="Book Antiqua"/>
          <w:i/>
        </w:rPr>
        <w:t>orientation</w:t>
      </w:r>
      <w:r>
        <w:rPr>
          <w:rFonts w:ascii="Book Antiqua" w:hAnsi="Book Antiqua"/>
        </w:rPr>
        <w:t xml:space="preserve"> is a relatively recent discovery</w:t>
      </w:r>
      <w:r w:rsidR="007930E6">
        <w:rPr>
          <w:rFonts w:ascii="Book Antiqua" w:hAnsi="Book Antiqua"/>
        </w:rPr>
        <w:t>, isn’t it reasonable to question whether such ‘orientation’ might constitute precisely such a ‘natural inclination’?  It is clear that St. Thomas, in his brief, explicit considerations of homosexual relations, considered such ‘acts’ to be contrary to natural inclination.  It is equally clear that he never considered the possibility that different persons might have different sexual inclinations/orientations; that question had not yet arisen.</w:t>
      </w:r>
      <w:r w:rsidR="00EF150E">
        <w:rPr>
          <w:rFonts w:ascii="Book Antiqua" w:hAnsi="Book Antiqua"/>
        </w:rPr>
        <w:t xml:space="preserve">  It has arisen now.</w:t>
      </w:r>
      <w:r w:rsidR="009A4328">
        <w:rPr>
          <w:rFonts w:ascii="Book Antiqua" w:hAnsi="Book Antiqua"/>
        </w:rPr>
        <w:t xml:space="preserve">  Widely.  And any theology that intends to proceed at the level of our time must ask it.</w:t>
      </w:r>
    </w:p>
    <w:p w:rsidR="00E56C84" w:rsidRDefault="00B50BA1" w:rsidP="00460EC7">
      <w:pPr>
        <w:tabs>
          <w:tab w:val="left" w:pos="0"/>
        </w:tabs>
        <w:spacing w:before="120" w:after="120"/>
        <w:rPr>
          <w:rFonts w:ascii="Book Antiqua" w:hAnsi="Book Antiqua"/>
        </w:rPr>
      </w:pPr>
      <w:r>
        <w:rPr>
          <w:rFonts w:ascii="Book Antiqua" w:hAnsi="Book Antiqua"/>
        </w:rPr>
        <w:tab/>
        <w:t xml:space="preserve">These latter two texts, pertaining to ‘language’ and ‘inclination,’ point to a troubling constant:  phantasms/images virtually bursting with questions – that are never asked.  And this doubles back to Scola’s elucidation of the realism of Christian thought, grounded in the insistence:  “Human </w:t>
      </w:r>
      <w:r w:rsidR="006A65A4">
        <w:rPr>
          <w:rFonts w:ascii="Book Antiqua" w:hAnsi="Book Antiqua"/>
        </w:rPr>
        <w:t>thought is made to grasp reality.”  Thus, the “urgency of turning (</w:t>
      </w:r>
      <w:r w:rsidR="006A65A4" w:rsidRPr="006A65A4">
        <w:rPr>
          <w:rFonts w:ascii="Book Antiqua" w:hAnsi="Book Antiqua"/>
          <w:i/>
        </w:rPr>
        <w:t>cum</w:t>
      </w:r>
      <w:r w:rsidR="006A65A4">
        <w:rPr>
          <w:rFonts w:ascii="Book Antiqua" w:hAnsi="Book Antiqua"/>
        </w:rPr>
        <w:t>-</w:t>
      </w:r>
      <w:r w:rsidR="006A65A4" w:rsidRPr="006A65A4">
        <w:rPr>
          <w:rFonts w:ascii="Book Antiqua" w:hAnsi="Book Antiqua"/>
          <w:i/>
        </w:rPr>
        <w:t>vertere</w:t>
      </w:r>
      <w:r w:rsidR="006A65A4">
        <w:rPr>
          <w:rFonts w:ascii="Book Antiqua" w:hAnsi="Book Antiqua"/>
        </w:rPr>
        <w:t>) to things just as they are.”</w:t>
      </w:r>
      <w:r w:rsidR="006A65A4">
        <w:rPr>
          <w:rStyle w:val="FootnoteReference"/>
          <w:rFonts w:ascii="Book Antiqua" w:hAnsi="Book Antiqua"/>
        </w:rPr>
        <w:footnoteReference w:id="144"/>
      </w:r>
      <w:r w:rsidR="006A65A4">
        <w:rPr>
          <w:rFonts w:ascii="Book Antiqua" w:hAnsi="Book Antiqua"/>
        </w:rPr>
        <w:t xml:space="preserve">  The fundamental issue is the </w:t>
      </w:r>
      <w:r w:rsidR="006A65A4" w:rsidRPr="006A65A4">
        <w:rPr>
          <w:rFonts w:ascii="Book Antiqua" w:hAnsi="Book Antiqua"/>
          <w:i/>
        </w:rPr>
        <w:t>how</w:t>
      </w:r>
      <w:r w:rsidR="006A65A4">
        <w:rPr>
          <w:rFonts w:ascii="Book Antiqua" w:hAnsi="Book Antiqua"/>
        </w:rPr>
        <w:t xml:space="preserve"> of that grasp, </w:t>
      </w:r>
      <w:r w:rsidR="006A65A4" w:rsidRPr="006A65A4">
        <w:rPr>
          <w:rFonts w:ascii="Book Antiqua" w:hAnsi="Book Antiqua"/>
          <w:i/>
        </w:rPr>
        <w:t>how</w:t>
      </w:r>
      <w:r w:rsidR="006A65A4">
        <w:rPr>
          <w:rFonts w:ascii="Book Antiqua" w:hAnsi="Book Antiqua"/>
        </w:rPr>
        <w:t xml:space="preserve"> to assure that</w:t>
      </w:r>
      <w:r w:rsidR="00124AD6">
        <w:rPr>
          <w:rFonts w:ascii="Book Antiqua" w:hAnsi="Book Antiqua"/>
        </w:rPr>
        <w:t xml:space="preserve"> we have truly turned to things-</w:t>
      </w:r>
      <w:r w:rsidR="006A65A4">
        <w:rPr>
          <w:rFonts w:ascii="Book Antiqua" w:hAnsi="Book Antiqua"/>
        </w:rPr>
        <w:t>as-they-</w:t>
      </w:r>
      <w:r w:rsidR="006A65A4" w:rsidRPr="006A65A4">
        <w:rPr>
          <w:rFonts w:ascii="Book Antiqua" w:hAnsi="Book Antiqua"/>
          <w:i/>
        </w:rPr>
        <w:t>are</w:t>
      </w:r>
      <w:r w:rsidR="006A65A4">
        <w:rPr>
          <w:rFonts w:ascii="Book Antiqua" w:hAnsi="Book Antiqua"/>
        </w:rPr>
        <w:t>, and not simply to things-as-they-intuitively-</w:t>
      </w:r>
      <w:r w:rsidR="006A65A4" w:rsidRPr="006A65A4">
        <w:rPr>
          <w:rFonts w:ascii="Book Antiqua" w:hAnsi="Book Antiqua"/>
          <w:i/>
        </w:rPr>
        <w:t>seem</w:t>
      </w:r>
      <w:r w:rsidR="006A65A4">
        <w:rPr>
          <w:rFonts w:ascii="Book Antiqua" w:hAnsi="Book Antiqua"/>
        </w:rPr>
        <w:t>.</w:t>
      </w:r>
      <w:r w:rsidR="00BC57D3">
        <w:rPr>
          <w:rFonts w:ascii="Book Antiqua" w:hAnsi="Book Antiqua"/>
        </w:rPr>
        <w:t xml:space="preserve">  And the only way to approach such assurance is through a thoroughgoingly </w:t>
      </w:r>
      <w:r w:rsidR="00BC57D3" w:rsidRPr="00BC57D3">
        <w:rPr>
          <w:rFonts w:ascii="Book Antiqua" w:hAnsi="Book Antiqua"/>
          <w:i/>
        </w:rPr>
        <w:t>critical</w:t>
      </w:r>
      <w:r w:rsidR="00BC57D3">
        <w:rPr>
          <w:rFonts w:ascii="Book Antiqua" w:hAnsi="Book Antiqua"/>
        </w:rPr>
        <w:t xml:space="preserve"> realism – in which </w:t>
      </w:r>
      <w:r w:rsidR="00EF150E">
        <w:rPr>
          <w:rFonts w:ascii="Book Antiqua" w:hAnsi="Book Antiqua"/>
        </w:rPr>
        <w:t>ontology</w:t>
      </w:r>
      <w:r w:rsidR="00BC57D3">
        <w:rPr>
          <w:rFonts w:ascii="Book Antiqua" w:hAnsi="Book Antiqua"/>
        </w:rPr>
        <w:t xml:space="preserve"> is grounded in epistemology, epistemology grounded in cognitional theory, and cognitional theory grounded in the authenticity of a knowing subject.  </w:t>
      </w:r>
      <w:r w:rsidR="00152A79">
        <w:rPr>
          <w:rFonts w:ascii="Book Antiqua" w:hAnsi="Book Antiqua"/>
        </w:rPr>
        <w:t xml:space="preserve">The marks of such authenticity include creative imagination in the formation of phantasms – with regard to images, first is not finest very often – and this involves the relaxation (possibly even the conversion) of Freud’s ‘censor,’ to allow hitherto repressed imaginal/affective content </w:t>
      </w:r>
      <w:r w:rsidR="00152A79">
        <w:rPr>
          <w:rFonts w:ascii="Book Antiqua" w:hAnsi="Book Antiqua"/>
        </w:rPr>
        <w:lastRenderedPageBreak/>
        <w:t xml:space="preserve">to be released from the psyche into the dynamic flow of intentional consciousness.  </w:t>
      </w:r>
      <w:r w:rsidR="00D2644E">
        <w:rPr>
          <w:rFonts w:ascii="Book Antiqua" w:hAnsi="Book Antiqua"/>
        </w:rPr>
        <w:t xml:space="preserve">From this fountainhead flow a river of questions – white water rapids in ‘the best and the brightest,’ a more leisurely stream in </w:t>
      </w:r>
      <w:r w:rsidR="00124AD6">
        <w:rPr>
          <w:rFonts w:ascii="Book Antiqua" w:hAnsi="Book Antiqua"/>
        </w:rPr>
        <w:t>us</w:t>
      </w:r>
      <w:r w:rsidR="00D2644E">
        <w:rPr>
          <w:rFonts w:ascii="Book Antiqua" w:hAnsi="Book Antiqua"/>
        </w:rPr>
        <w:t xml:space="preserve"> ‘creeks.’</w:t>
      </w:r>
      <w:r w:rsidR="00124AD6">
        <w:rPr>
          <w:rFonts w:ascii="Book Antiqua" w:hAnsi="Book Antiqua"/>
        </w:rPr>
        <w:t xml:space="preserve">  But allowing the questions is the measure of authenticity here, for only questions that are truly asked yield understanding.  Without understanding one can still throw around concepts that others have thrown one’s way – sort of a Springtime game of conceptual ‘catch’ – but sedimented concepts have no flow, enabling no movement toward reality.  </w:t>
      </w:r>
      <w:r w:rsidR="003D0DD6">
        <w:rPr>
          <w:rFonts w:ascii="Book Antiqua" w:hAnsi="Book Antiqua"/>
        </w:rPr>
        <w:t>‘Acts’ of insight, on the contrary, channel the dynamic flow forward, but only through further questions, which return to the possibility of reconfigured images, the possibility of data to which one had not attended, and the anguishing possibility of one’s own bias, one’s own constricted subjectivity.  One considers such questions reflectively, marshaling and weighing evidence for affirmation or negation, until the stream of</w:t>
      </w:r>
      <w:r w:rsidR="00236E0C">
        <w:rPr>
          <w:rFonts w:ascii="Book Antiqua" w:hAnsi="Book Antiqua"/>
        </w:rPr>
        <w:t xml:space="preserve"> further relevant questions first narrows and then yields to solid ground, </w:t>
      </w:r>
      <w:proofErr w:type="spellStart"/>
      <w:r w:rsidR="00236E0C">
        <w:rPr>
          <w:rFonts w:ascii="Book Antiqua" w:hAnsi="Book Antiqua"/>
        </w:rPr>
        <w:t>whereon</w:t>
      </w:r>
      <w:proofErr w:type="spellEnd"/>
      <w:r w:rsidR="00236E0C">
        <w:rPr>
          <w:rFonts w:ascii="Book Antiqua" w:hAnsi="Book Antiqua"/>
        </w:rPr>
        <w:t xml:space="preserve"> one can authentically say, “Here I stand.”</w:t>
      </w:r>
      <w:r w:rsidR="00787536">
        <w:rPr>
          <w:rFonts w:ascii="Book Antiqua" w:hAnsi="Book Antiqua"/>
        </w:rPr>
        <w:t xml:space="preserve">  There are, however, no shortcuts to reality.  </w:t>
      </w:r>
    </w:p>
    <w:p w:rsidR="00E56C84" w:rsidRDefault="00E56C84" w:rsidP="00E56C84">
      <w:pPr>
        <w:tabs>
          <w:tab w:val="left" w:pos="720"/>
        </w:tabs>
        <w:spacing w:before="120" w:after="120"/>
        <w:ind w:left="720"/>
        <w:contextualSpacing/>
        <w:rPr>
          <w:rFonts w:ascii="Book Antiqua" w:hAnsi="Book Antiqua"/>
          <w:sz w:val="20"/>
          <w:szCs w:val="20"/>
        </w:rPr>
      </w:pPr>
      <w:r>
        <w:rPr>
          <w:rFonts w:ascii="Book Antiqua" w:hAnsi="Book Antiqua"/>
          <w:sz w:val="20"/>
          <w:szCs w:val="20"/>
        </w:rPr>
        <w:t>A question in your nerves is lit</w:t>
      </w:r>
    </w:p>
    <w:p w:rsidR="00E56C84" w:rsidRDefault="00E56C84" w:rsidP="00E56C84">
      <w:pPr>
        <w:tabs>
          <w:tab w:val="left" w:pos="720"/>
        </w:tabs>
        <w:spacing w:before="120" w:after="120"/>
        <w:ind w:left="720"/>
        <w:contextualSpacing/>
        <w:rPr>
          <w:rFonts w:ascii="Book Antiqua" w:hAnsi="Book Antiqua"/>
          <w:sz w:val="20"/>
          <w:szCs w:val="20"/>
        </w:rPr>
      </w:pPr>
      <w:r>
        <w:rPr>
          <w:rFonts w:ascii="Book Antiqua" w:hAnsi="Book Antiqua"/>
          <w:sz w:val="20"/>
          <w:szCs w:val="20"/>
        </w:rPr>
        <w:t>Yet you know there is no answer fit to satisfy</w:t>
      </w:r>
    </w:p>
    <w:p w:rsidR="00E56C84" w:rsidRDefault="00E56C84" w:rsidP="00E56C84">
      <w:pPr>
        <w:tabs>
          <w:tab w:val="left" w:pos="720"/>
        </w:tabs>
        <w:spacing w:before="120" w:after="120"/>
        <w:ind w:left="720"/>
        <w:contextualSpacing/>
        <w:rPr>
          <w:rFonts w:ascii="Book Antiqua" w:hAnsi="Book Antiqua"/>
          <w:sz w:val="20"/>
          <w:szCs w:val="20"/>
        </w:rPr>
      </w:pPr>
      <w:r>
        <w:rPr>
          <w:rFonts w:ascii="Book Antiqua" w:hAnsi="Book Antiqua"/>
          <w:sz w:val="20"/>
          <w:szCs w:val="20"/>
        </w:rPr>
        <w:t>Insure you not to quit</w:t>
      </w:r>
    </w:p>
    <w:p w:rsidR="00E56C84" w:rsidRDefault="00E56C84" w:rsidP="00E56C84">
      <w:pPr>
        <w:tabs>
          <w:tab w:val="left" w:pos="720"/>
        </w:tabs>
        <w:spacing w:before="120" w:after="120"/>
        <w:ind w:left="720"/>
        <w:contextualSpacing/>
        <w:rPr>
          <w:rFonts w:ascii="Book Antiqua" w:hAnsi="Book Antiqua"/>
          <w:sz w:val="20"/>
          <w:szCs w:val="20"/>
        </w:rPr>
      </w:pPr>
      <w:r>
        <w:rPr>
          <w:rFonts w:ascii="Book Antiqua" w:hAnsi="Book Antiqua"/>
          <w:sz w:val="20"/>
          <w:szCs w:val="20"/>
        </w:rPr>
        <w:t>To keep it in your mind and not fergit</w:t>
      </w:r>
    </w:p>
    <w:p w:rsidR="00E56C84" w:rsidRDefault="00E56C84" w:rsidP="00E56C84">
      <w:pPr>
        <w:tabs>
          <w:tab w:val="left" w:pos="720"/>
        </w:tabs>
        <w:spacing w:before="120" w:after="120"/>
        <w:ind w:left="720"/>
        <w:contextualSpacing/>
        <w:rPr>
          <w:rFonts w:ascii="Book Antiqua" w:hAnsi="Book Antiqua"/>
          <w:sz w:val="20"/>
          <w:szCs w:val="20"/>
        </w:rPr>
      </w:pPr>
      <w:r>
        <w:rPr>
          <w:rFonts w:ascii="Book Antiqua" w:hAnsi="Book Antiqua"/>
          <w:sz w:val="20"/>
          <w:szCs w:val="20"/>
        </w:rPr>
        <w:t>That it is not he or she or them or it</w:t>
      </w:r>
    </w:p>
    <w:p w:rsidR="00E56C84" w:rsidRPr="00E56C84" w:rsidRDefault="00E56C84" w:rsidP="00E56C84">
      <w:pPr>
        <w:tabs>
          <w:tab w:val="left" w:pos="720"/>
        </w:tabs>
        <w:spacing w:before="120" w:after="120"/>
        <w:ind w:left="720"/>
        <w:rPr>
          <w:rFonts w:ascii="Book Antiqua" w:hAnsi="Book Antiqua"/>
          <w:sz w:val="20"/>
          <w:szCs w:val="20"/>
        </w:rPr>
      </w:pPr>
      <w:r>
        <w:rPr>
          <w:rFonts w:ascii="Book Antiqua" w:hAnsi="Book Antiqua"/>
          <w:sz w:val="20"/>
          <w:szCs w:val="20"/>
        </w:rPr>
        <w:t>That you belong to.</w:t>
      </w:r>
      <w:r>
        <w:rPr>
          <w:rStyle w:val="FootnoteReference"/>
          <w:rFonts w:ascii="Book Antiqua" w:hAnsi="Book Antiqua"/>
          <w:sz w:val="20"/>
          <w:szCs w:val="20"/>
        </w:rPr>
        <w:footnoteReference w:id="145"/>
      </w:r>
    </w:p>
    <w:p w:rsidR="00D2644E" w:rsidRPr="002B3348" w:rsidRDefault="00787536" w:rsidP="00460EC7">
      <w:pPr>
        <w:tabs>
          <w:tab w:val="left" w:pos="0"/>
        </w:tabs>
        <w:spacing w:before="120" w:after="120"/>
        <w:rPr>
          <w:rFonts w:ascii="Book Antiqua" w:hAnsi="Book Antiqua"/>
        </w:rPr>
      </w:pPr>
      <w:r>
        <w:rPr>
          <w:rFonts w:ascii="Book Antiqua" w:hAnsi="Book Antiqua"/>
        </w:rPr>
        <w:t>Repressing such questions in oneself, or silencing them in others, rests on the illusion of a secret passageway that simply isn’t there.</w:t>
      </w:r>
      <w:r w:rsidR="00E56C84">
        <w:rPr>
          <w:rFonts w:ascii="Book Antiqua" w:hAnsi="Book Antiqua"/>
        </w:rPr>
        <w:t xml:space="preserve">  Pretending it is, is Christian </w:t>
      </w:r>
      <w:r w:rsidR="00E56C84" w:rsidRPr="00E56C84">
        <w:rPr>
          <w:rFonts w:ascii="Book Antiqua" w:hAnsi="Book Antiqua"/>
          <w:i/>
        </w:rPr>
        <w:t>un</w:t>
      </w:r>
      <w:r w:rsidR="00E56C84">
        <w:rPr>
          <w:rFonts w:ascii="Book Antiqua" w:hAnsi="Book Antiqua"/>
        </w:rPr>
        <w:t>realism</w:t>
      </w:r>
      <w:r w:rsidR="006A7E64">
        <w:rPr>
          <w:rFonts w:ascii="Book Antiqua" w:hAnsi="Book Antiqua"/>
        </w:rPr>
        <w:t xml:space="preserve"> – which can result only in </w:t>
      </w:r>
      <w:r w:rsidR="006A7E64" w:rsidRPr="006A7E64">
        <w:rPr>
          <w:rFonts w:ascii="Book Antiqua" w:hAnsi="Book Antiqua"/>
          <w:i/>
        </w:rPr>
        <w:t>un</w:t>
      </w:r>
      <w:r w:rsidR="006A7E64">
        <w:rPr>
          <w:rFonts w:ascii="Book Antiqua" w:hAnsi="Book Antiqua"/>
        </w:rPr>
        <w:t>natural law</w:t>
      </w:r>
      <w:r w:rsidR="00E56C84">
        <w:rPr>
          <w:rFonts w:ascii="Book Antiqua" w:hAnsi="Book Antiqua"/>
        </w:rPr>
        <w:t>.  And if there is a “growing perception of the irrelevance of the moral magisterium,”</w:t>
      </w:r>
      <w:r w:rsidR="00B02DD2">
        <w:rPr>
          <w:rStyle w:val="FootnoteReference"/>
          <w:rFonts w:ascii="Book Antiqua" w:hAnsi="Book Antiqua"/>
        </w:rPr>
        <w:footnoteReference w:id="146"/>
      </w:r>
      <w:r w:rsidR="00E56C84">
        <w:rPr>
          <w:rFonts w:ascii="Book Antiqua" w:hAnsi="Book Antiqua"/>
        </w:rPr>
        <w:t xml:space="preserve"> </w:t>
      </w:r>
      <w:r w:rsidR="00B02DD2">
        <w:rPr>
          <w:rFonts w:ascii="Book Antiqua" w:hAnsi="Book Antiqua"/>
        </w:rPr>
        <w:t>one might wonder whether such pretending may lie at its root.</w:t>
      </w:r>
      <w:r w:rsidR="00E56C84">
        <w:rPr>
          <w:rFonts w:ascii="Book Antiqua" w:hAnsi="Book Antiqua"/>
        </w:rPr>
        <w:t xml:space="preserve">  </w:t>
      </w:r>
      <w:r w:rsidR="00B02DD2">
        <w:rPr>
          <w:rFonts w:ascii="Book Antiqua" w:hAnsi="Book Antiqua"/>
        </w:rPr>
        <w:t>It is a question – like many others – that never seems to</w:t>
      </w:r>
      <w:r w:rsidR="003E4805">
        <w:rPr>
          <w:rFonts w:ascii="Book Antiqua" w:hAnsi="Book Antiqua"/>
        </w:rPr>
        <w:t xml:space="preserve"> have been lit in the nerves of</w:t>
      </w:r>
      <w:r w:rsidR="00B02DD2">
        <w:rPr>
          <w:rFonts w:ascii="Book Antiqua" w:hAnsi="Book Antiqua"/>
        </w:rPr>
        <w:t xml:space="preserve"> Angelo Cardinal Scola.</w:t>
      </w:r>
    </w:p>
    <w:p w:rsidR="007B299F" w:rsidRDefault="00EF150E" w:rsidP="004F645C">
      <w:pPr>
        <w:tabs>
          <w:tab w:val="left" w:pos="0"/>
        </w:tabs>
        <w:spacing w:after="120"/>
        <w:rPr>
          <w:rFonts w:ascii="Book Antiqua" w:hAnsi="Book Antiqua"/>
        </w:rPr>
      </w:pPr>
      <w:r>
        <w:rPr>
          <w:rFonts w:ascii="Book Antiqua" w:hAnsi="Book Antiqua"/>
        </w:rPr>
        <w:tab/>
      </w:r>
      <w:r w:rsidR="00A959E0">
        <w:rPr>
          <w:rFonts w:ascii="Book Antiqua" w:hAnsi="Book Antiqua"/>
        </w:rPr>
        <w:t xml:space="preserve">So, step one of this mountainous climb negotiated a notion of nature rooted in cultural bias carrying the force of a </w:t>
      </w:r>
      <w:r w:rsidR="003344F4">
        <w:rPr>
          <w:rFonts w:ascii="Book Antiqua" w:hAnsi="Book Antiqua"/>
        </w:rPr>
        <w:t xml:space="preserve">sexual </w:t>
      </w:r>
      <w:r w:rsidR="00A959E0">
        <w:rPr>
          <w:rFonts w:ascii="Book Antiqua" w:hAnsi="Book Antiqua"/>
        </w:rPr>
        <w:t xml:space="preserve">taboo, recognized as such only retrospectively.  The arduous, winding climb of step two negotiated a notion of nature rooted in the application of an authoritative interpretation of Transcendent Mystery to the terrestrial </w:t>
      </w:r>
      <w:r w:rsidR="008424B9">
        <w:rPr>
          <w:rFonts w:ascii="Book Antiqua" w:hAnsi="Book Antiqua"/>
        </w:rPr>
        <w:t>terrain</w:t>
      </w:r>
      <w:r w:rsidR="003344F4">
        <w:rPr>
          <w:rFonts w:ascii="Book Antiqua" w:hAnsi="Book Antiqua"/>
        </w:rPr>
        <w:t xml:space="preserve"> of </w:t>
      </w:r>
      <w:r w:rsidR="000957A4">
        <w:rPr>
          <w:rFonts w:ascii="Book Antiqua" w:hAnsi="Book Antiqua"/>
        </w:rPr>
        <w:t xml:space="preserve">inclined </w:t>
      </w:r>
      <w:r w:rsidR="003344F4">
        <w:rPr>
          <w:rFonts w:ascii="Book Antiqua" w:hAnsi="Book Antiqua"/>
        </w:rPr>
        <w:t>sexuality</w:t>
      </w:r>
      <w:r w:rsidR="007B299F">
        <w:rPr>
          <w:rFonts w:ascii="Book Antiqua" w:hAnsi="Book Antiqua"/>
        </w:rPr>
        <w:t>:  nature visible only to a God’s-eye view</w:t>
      </w:r>
      <w:r w:rsidR="003772B7">
        <w:rPr>
          <w:rFonts w:ascii="Book Antiqua" w:hAnsi="Book Antiqua"/>
        </w:rPr>
        <w:t xml:space="preserve"> (which an ecclesiastical elite is privileged to share).</w:t>
      </w:r>
      <w:r w:rsidR="00CA7942">
        <w:rPr>
          <w:rFonts w:ascii="Book Antiqua" w:hAnsi="Book Antiqua"/>
        </w:rPr>
        <w:t xml:space="preserve">  </w:t>
      </w:r>
    </w:p>
    <w:p w:rsidR="001D1B93" w:rsidRDefault="007B299F" w:rsidP="004F645C">
      <w:pPr>
        <w:tabs>
          <w:tab w:val="left" w:pos="0"/>
        </w:tabs>
        <w:spacing w:after="120"/>
        <w:rPr>
          <w:rFonts w:ascii="Book Antiqua" w:hAnsi="Book Antiqua"/>
        </w:rPr>
      </w:pPr>
      <w:r>
        <w:rPr>
          <w:rFonts w:ascii="Book Antiqua" w:hAnsi="Book Antiqua"/>
        </w:rPr>
        <w:tab/>
      </w:r>
      <w:r w:rsidR="00CA7942">
        <w:rPr>
          <w:rFonts w:ascii="Book Antiqua" w:hAnsi="Book Antiqua"/>
        </w:rPr>
        <w:t xml:space="preserve">Now, </w:t>
      </w:r>
      <w:r>
        <w:rPr>
          <w:rFonts w:ascii="Book Antiqua" w:hAnsi="Book Antiqua"/>
        </w:rPr>
        <w:t>I want to search the underbrush for</w:t>
      </w:r>
      <w:r w:rsidR="00CA7942">
        <w:rPr>
          <w:rFonts w:ascii="Book Antiqua" w:hAnsi="Book Antiqua"/>
        </w:rPr>
        <w:t xml:space="preserve"> the </w:t>
      </w:r>
      <w:r w:rsidR="001D1B93">
        <w:rPr>
          <w:rFonts w:ascii="Book Antiqua" w:hAnsi="Book Antiqua"/>
        </w:rPr>
        <w:t>possibility of a different path.</w:t>
      </w:r>
      <w:r w:rsidR="00B3745B">
        <w:rPr>
          <w:rFonts w:ascii="Book Antiqua" w:hAnsi="Book Antiqua"/>
        </w:rPr>
        <w:t xml:space="preserve">  </w:t>
      </w:r>
      <w:r w:rsidR="00F1503F">
        <w:rPr>
          <w:rFonts w:ascii="Book Antiqua" w:hAnsi="Book Antiqua"/>
        </w:rPr>
        <w:t xml:space="preserve">In this third step, I return to Aquinas on affection, wondering how he was able to forge such a key, while the nuptialist </w:t>
      </w:r>
      <w:r w:rsidR="00B3745B">
        <w:rPr>
          <w:rFonts w:ascii="Book Antiqua" w:hAnsi="Book Antiqua"/>
        </w:rPr>
        <w:t>– holding it in hand, fully forged – was unable even to turn it.</w:t>
      </w:r>
    </w:p>
    <w:p w:rsidR="00934881" w:rsidRDefault="008E4900" w:rsidP="004F645C">
      <w:pPr>
        <w:tabs>
          <w:tab w:val="left" w:pos="0"/>
        </w:tabs>
        <w:spacing w:after="120"/>
        <w:rPr>
          <w:rFonts w:ascii="Book Antiqua" w:hAnsi="Book Antiqua"/>
        </w:rPr>
      </w:pPr>
      <w:r>
        <w:rPr>
          <w:rFonts w:ascii="Book Antiqua" w:hAnsi="Book Antiqua"/>
        </w:rPr>
        <w:lastRenderedPageBreak/>
        <w:tab/>
        <w:t>At issue is the central achievement of St. Thomas, indeed, of 13</w:t>
      </w:r>
      <w:r w:rsidRPr="008E4900">
        <w:rPr>
          <w:rFonts w:ascii="Book Antiqua" w:hAnsi="Book Antiqua"/>
          <w:vertAlign w:val="superscript"/>
        </w:rPr>
        <w:t>th</w:t>
      </w:r>
      <w:r>
        <w:rPr>
          <w:rFonts w:ascii="Book Antiqua" w:hAnsi="Book Antiqua"/>
        </w:rPr>
        <w:t xml:space="preserve"> century Catholic thought:  the theorem of the supernatural, first formulated by Philip the Chancellor, but grasped and engaged in its full potential only by Aquinas.  This notion of the ‘supernatural’ is not a concept among other concepts, but an overarching/underlying way of thinking that enabled a clarification and ordering</w:t>
      </w:r>
      <w:r w:rsidR="004338F1">
        <w:rPr>
          <w:rFonts w:ascii="Book Antiqua" w:hAnsi="Book Antiqua"/>
        </w:rPr>
        <w:t xml:space="preserve"> of the whole range of data that constitute </w:t>
      </w:r>
      <w:r w:rsidR="006F2B82">
        <w:rPr>
          <w:rFonts w:ascii="Book Antiqua" w:hAnsi="Book Antiqua"/>
        </w:rPr>
        <w:t xml:space="preserve">religious, indeed all human, </w:t>
      </w:r>
      <w:r w:rsidR="004338F1">
        <w:rPr>
          <w:rFonts w:ascii="Book Antiqua" w:hAnsi="Book Antiqua"/>
        </w:rPr>
        <w:t>experience.</w:t>
      </w:r>
      <w:r w:rsidR="004338F1">
        <w:rPr>
          <w:rStyle w:val="FootnoteReference"/>
          <w:rFonts w:ascii="Book Antiqua" w:hAnsi="Book Antiqua"/>
        </w:rPr>
        <w:footnoteReference w:id="147"/>
      </w:r>
    </w:p>
    <w:p w:rsidR="0022598C" w:rsidRDefault="00411BF8" w:rsidP="004F645C">
      <w:pPr>
        <w:tabs>
          <w:tab w:val="left" w:pos="0"/>
        </w:tabs>
        <w:spacing w:after="120"/>
        <w:rPr>
          <w:rFonts w:ascii="Book Antiqua" w:hAnsi="Book Antiqua"/>
        </w:rPr>
      </w:pPr>
      <w:r>
        <w:rPr>
          <w:rFonts w:ascii="Book Antiqua" w:hAnsi="Book Antiqua"/>
        </w:rPr>
        <w:tab/>
        <w:t>For any Catholic, indeed, any Christian, our life is a struggle between sin and grace.  Whatever</w:t>
      </w:r>
      <w:r w:rsidR="002A0718">
        <w:rPr>
          <w:rFonts w:ascii="Book Antiqua" w:hAnsi="Book Antiqua"/>
        </w:rPr>
        <w:t xml:space="preserve"> distance between us may be introduced by</w:t>
      </w:r>
      <w:r>
        <w:rPr>
          <w:rFonts w:ascii="Book Antiqua" w:hAnsi="Book Antiqua"/>
        </w:rPr>
        <w:t xml:space="preserve"> differences of perspective, tradition, </w:t>
      </w:r>
      <w:r w:rsidR="009E31D2">
        <w:rPr>
          <w:rFonts w:ascii="Book Antiqua" w:hAnsi="Book Antiqua"/>
        </w:rPr>
        <w:t xml:space="preserve">or </w:t>
      </w:r>
      <w:r w:rsidR="00EA710B">
        <w:rPr>
          <w:rFonts w:ascii="Book Antiqua" w:hAnsi="Book Antiqua"/>
        </w:rPr>
        <w:t>temperament</w:t>
      </w:r>
      <w:r>
        <w:rPr>
          <w:rFonts w:ascii="Book Antiqua" w:hAnsi="Book Antiqua"/>
        </w:rPr>
        <w:t xml:space="preserve">, acknowledgment of that struggle, and </w:t>
      </w:r>
      <w:r w:rsidR="00F809FF">
        <w:rPr>
          <w:rFonts w:ascii="Book Antiqua" w:hAnsi="Book Antiqua"/>
        </w:rPr>
        <w:t>of what is at stake</w:t>
      </w:r>
      <w:r>
        <w:rPr>
          <w:rFonts w:ascii="Book Antiqua" w:hAnsi="Book Antiqua"/>
        </w:rPr>
        <w:t>, is a point of fundamental unity.</w:t>
      </w:r>
      <w:r w:rsidR="00E20775">
        <w:rPr>
          <w:rFonts w:ascii="Book Antiqua" w:hAnsi="Book Antiqua"/>
        </w:rPr>
        <w:t xml:space="preserve">  But </w:t>
      </w:r>
      <w:r w:rsidR="0023519C">
        <w:rPr>
          <w:rFonts w:ascii="Book Antiqua" w:hAnsi="Book Antiqua"/>
        </w:rPr>
        <w:t xml:space="preserve">it matters greatly </w:t>
      </w:r>
      <w:r w:rsidR="00E20775">
        <w:rPr>
          <w:rFonts w:ascii="Book Antiqua" w:hAnsi="Book Antiqua"/>
        </w:rPr>
        <w:t xml:space="preserve">how one understands those realities – ‘sin’ and ‘grace’ – and whether one considers them  (i) as a dual reality locked in the eternal conflict that is our existence, or (ii) as best understood through introduction of a </w:t>
      </w:r>
      <w:r w:rsidR="00E20775" w:rsidRPr="00E20775">
        <w:rPr>
          <w:rFonts w:ascii="Book Antiqua" w:hAnsi="Book Antiqua"/>
          <w:i/>
        </w:rPr>
        <w:t>tertium quid</w:t>
      </w:r>
      <w:r w:rsidR="00E20775">
        <w:rPr>
          <w:rFonts w:ascii="Book Antiqua" w:hAnsi="Book Antiqua"/>
        </w:rPr>
        <w:t>, ‘nature,’ which both significantly transposes our understanding of ‘sin’ and ‘grace,’ and allows consideration of the natural order intrinsically, in terms of its own dynamic structures, as well as, and prior to, its determination by ‘sin’ and ‘grace.’</w:t>
      </w:r>
    </w:p>
    <w:p w:rsidR="00934881" w:rsidRDefault="0022598C" w:rsidP="004F645C">
      <w:pPr>
        <w:tabs>
          <w:tab w:val="left" w:pos="0"/>
        </w:tabs>
        <w:spacing w:after="120"/>
        <w:rPr>
          <w:rFonts w:ascii="Book Antiqua" w:hAnsi="Book Antiqua"/>
        </w:rPr>
      </w:pPr>
      <w:r>
        <w:rPr>
          <w:rFonts w:ascii="Book Antiqua" w:hAnsi="Book Antiqua"/>
        </w:rPr>
        <w:tab/>
        <w:t>In the Augustinian perspective, the former option, the necessity of grace is due to sin.</w:t>
      </w:r>
      <w:r w:rsidR="00F34495">
        <w:rPr>
          <w:rFonts w:ascii="Book Antiqua" w:hAnsi="Book Antiqua"/>
        </w:rPr>
        <w:t xml:space="preserve">  Grace is </w:t>
      </w:r>
      <w:r w:rsidR="00F34495" w:rsidRPr="00F34495">
        <w:rPr>
          <w:rFonts w:ascii="Book Antiqua" w:hAnsi="Book Antiqua"/>
          <w:i/>
        </w:rPr>
        <w:t>sanans</w:t>
      </w:r>
      <w:r w:rsidR="00F34495">
        <w:rPr>
          <w:rFonts w:ascii="Book Antiqua" w:hAnsi="Book Antiqua"/>
        </w:rPr>
        <w:t>, its gratuity due to the fact that its recipients are undeserving, because of sin and its effects – darkening of the intellect and enslavement of the will.</w:t>
      </w:r>
      <w:r w:rsidR="004627B8">
        <w:rPr>
          <w:rFonts w:ascii="Book Antiqua" w:hAnsi="Book Antiqua"/>
        </w:rPr>
        <w:t xml:space="preserve">  By healing the wounds inflicted by sin, grace restores us, enabling fulfillment of the divine law.  It is an intensely dramatic vision of human life, its intensity enhanced by the power of Augustine’s person and the beauty of his expression.</w:t>
      </w:r>
    </w:p>
    <w:p w:rsidR="007D02C1" w:rsidRDefault="007D02C1" w:rsidP="004F645C">
      <w:pPr>
        <w:tabs>
          <w:tab w:val="left" w:pos="0"/>
        </w:tabs>
        <w:spacing w:after="120"/>
        <w:rPr>
          <w:rFonts w:ascii="Book Antiqua" w:hAnsi="Book Antiqua"/>
        </w:rPr>
      </w:pPr>
      <w:r>
        <w:rPr>
          <w:rFonts w:ascii="Book Antiqua" w:hAnsi="Book Antiqua"/>
        </w:rPr>
        <w:tab/>
        <w:t xml:space="preserve">But does it account for the full richness of our religious experience?  Emergent through the twelfth century was a sense that it does not.  If the core meaning of grace is the fact of its being undeserved, is not everything – creation itself – grace?  We certainly do not merit existence.  Numerous early scholastics, culminating in Hugh of St. Victor, answered in the </w:t>
      </w:r>
      <w:r>
        <w:rPr>
          <w:rFonts w:ascii="Book Antiqua" w:hAnsi="Book Antiqua"/>
        </w:rPr>
        <w:lastRenderedPageBreak/>
        <w:t xml:space="preserve">affirmative, speaking of </w:t>
      </w:r>
      <w:r w:rsidRPr="007D02C1">
        <w:rPr>
          <w:rFonts w:ascii="Book Antiqua" w:hAnsi="Book Antiqua"/>
          <w:i/>
        </w:rPr>
        <w:t>gratia creatrix</w:t>
      </w:r>
      <w:r>
        <w:rPr>
          <w:rFonts w:ascii="Book Antiqua" w:hAnsi="Book Antiqua"/>
        </w:rPr>
        <w:t>.  But this, too, seemed to fall short of enabling believers to understand the full scope of their experience of the reality of grace.</w:t>
      </w:r>
      <w:r w:rsidR="00366D11">
        <w:rPr>
          <w:rFonts w:ascii="Book Antiqua" w:hAnsi="Book Antiqua"/>
        </w:rPr>
        <w:t xml:space="preserve">  All is gratuitous, but there seemed a uniqueness to the gratuity of grace not yet accounted for.</w:t>
      </w:r>
    </w:p>
    <w:p w:rsidR="007D02C1" w:rsidRDefault="008C1743" w:rsidP="004F645C">
      <w:pPr>
        <w:tabs>
          <w:tab w:val="left" w:pos="0"/>
        </w:tabs>
        <w:spacing w:after="120"/>
        <w:rPr>
          <w:rFonts w:ascii="Book Antiqua" w:hAnsi="Book Antiqua"/>
        </w:rPr>
      </w:pPr>
      <w:r>
        <w:rPr>
          <w:rFonts w:ascii="Book Antiqua" w:hAnsi="Book Antiqua"/>
        </w:rPr>
        <w:tab/>
        <w:t>There emerged an understanding that we are unable to attain union with God, not solely, perhaps not even mainly, due to sin, but more fundamentally because of the simple fact of finitude.  The finite cannot grasp the Infinite, but, rather, can only be grasped by the Infinite.  Grace, then, comes to be understood as a transformation (</w:t>
      </w:r>
      <w:r w:rsidRPr="008C1743">
        <w:rPr>
          <w:rFonts w:ascii="Book Antiqua" w:hAnsi="Book Antiqua"/>
          <w:i/>
        </w:rPr>
        <w:t>elevans</w:t>
      </w:r>
      <w:r>
        <w:rPr>
          <w:rFonts w:ascii="Book Antiqua" w:hAnsi="Book Antiqua"/>
        </w:rPr>
        <w:t>) of the finite, healing of sin and its effects resultant from that transformation.</w:t>
      </w:r>
    </w:p>
    <w:p w:rsidR="008C1743" w:rsidRDefault="008C1743" w:rsidP="004F645C">
      <w:pPr>
        <w:tabs>
          <w:tab w:val="left" w:pos="0"/>
        </w:tabs>
        <w:spacing w:after="120"/>
        <w:rPr>
          <w:rFonts w:ascii="Book Antiqua" w:hAnsi="Book Antiqua"/>
        </w:rPr>
      </w:pPr>
      <w:r>
        <w:rPr>
          <w:rFonts w:ascii="Book Antiqua" w:hAnsi="Book Antiqua"/>
        </w:rPr>
        <w:tab/>
        <w:t>Sin, then, comes to be understood as the conscious creature’s</w:t>
      </w:r>
      <w:r w:rsidR="00C733C4">
        <w:rPr>
          <w:rFonts w:ascii="Book Antiqua" w:hAnsi="Book Antiqua"/>
        </w:rPr>
        <w:t xml:space="preserve"> resistance to this transformation, grounded in the mistaken judgment that our finitude is sufficient unto itself, is, indeed, all there is.  But this resistance comes from that false judgment</w:t>
      </w:r>
      <w:r w:rsidR="007F6E79">
        <w:rPr>
          <w:rFonts w:ascii="Book Antiqua" w:hAnsi="Book Antiqua"/>
        </w:rPr>
        <w:t>, not from finitude itself.  Thus,</w:t>
      </w:r>
      <w:r w:rsidR="00C733C4">
        <w:rPr>
          <w:rFonts w:ascii="Book Antiqua" w:hAnsi="Book Antiqua"/>
        </w:rPr>
        <w:t xml:space="preserve"> the fundamental character of grace can be understood as being ‘beyond nature,’ not ‘against sin.’</w:t>
      </w:r>
    </w:p>
    <w:p w:rsidR="00C733C4" w:rsidRDefault="00C733C4" w:rsidP="00C733C4">
      <w:pPr>
        <w:tabs>
          <w:tab w:val="left" w:pos="720"/>
        </w:tabs>
        <w:spacing w:after="120"/>
        <w:ind w:left="720" w:right="720"/>
        <w:rPr>
          <w:rFonts w:ascii="Book Antiqua" w:hAnsi="Book Antiqua"/>
          <w:sz w:val="20"/>
          <w:szCs w:val="20"/>
        </w:rPr>
      </w:pPr>
      <w:r>
        <w:rPr>
          <w:rFonts w:ascii="Book Antiqua" w:hAnsi="Book Antiqua"/>
          <w:sz w:val="20"/>
          <w:szCs w:val="20"/>
        </w:rPr>
        <w:t>Grace, the unimaginable mystery of the transforming infinite, is no longer to be de</w:t>
      </w:r>
      <w:r w:rsidR="00E87B1A">
        <w:rPr>
          <w:rFonts w:ascii="Book Antiqua" w:hAnsi="Book Antiqua"/>
          <w:sz w:val="20"/>
          <w:szCs w:val="20"/>
        </w:rPr>
        <w:t>f</w:t>
      </w:r>
      <w:r>
        <w:rPr>
          <w:rFonts w:ascii="Book Antiqua" w:hAnsi="Book Antiqua"/>
          <w:sz w:val="20"/>
          <w:szCs w:val="20"/>
        </w:rPr>
        <w:t>ined as the remedy for sin.  Grace transforms nature while sin absolutizes it.  But take out “nature,” this new middle term, and sin and grace lock into a conflict that pulls into its orbit all our understanding of the world and God.</w:t>
      </w:r>
      <w:r>
        <w:rPr>
          <w:rStyle w:val="FootnoteReference"/>
          <w:rFonts w:ascii="Book Antiqua" w:hAnsi="Book Antiqua"/>
          <w:sz w:val="20"/>
          <w:szCs w:val="20"/>
        </w:rPr>
        <w:footnoteReference w:id="148"/>
      </w:r>
    </w:p>
    <w:p w:rsidR="00A45C6C" w:rsidRDefault="00E87B1A" w:rsidP="003352A0">
      <w:pPr>
        <w:tabs>
          <w:tab w:val="left" w:pos="0"/>
        </w:tabs>
        <w:spacing w:after="120"/>
        <w:rPr>
          <w:rFonts w:ascii="Book Antiqua" w:hAnsi="Book Antiqua"/>
        </w:rPr>
      </w:pPr>
      <w:r>
        <w:rPr>
          <w:rFonts w:ascii="Book Antiqua" w:hAnsi="Book Antiqua"/>
        </w:rPr>
        <w:t>Grace and nature are not two ‘things;’ rather, together they offer a way of thinking about ourselves</w:t>
      </w:r>
      <w:r w:rsidR="00EA710B">
        <w:rPr>
          <w:rFonts w:ascii="Book Antiqua" w:hAnsi="Book Antiqua"/>
        </w:rPr>
        <w:t xml:space="preserve"> and God</w:t>
      </w:r>
      <w:r>
        <w:rPr>
          <w:rFonts w:ascii="Book Antiqua" w:hAnsi="Book Antiqua"/>
        </w:rPr>
        <w:t xml:space="preserve"> that takes seriously both the deadening reality of sin and the experienced, witnessed reality of elevation into a ‘new creation’ by Faith, Hope, and Charity.  </w:t>
      </w:r>
      <w:r w:rsidR="00A45C6C">
        <w:rPr>
          <w:rFonts w:ascii="Book Antiqua" w:hAnsi="Book Antiqua"/>
        </w:rPr>
        <w:t>This took seriously the reality of conversion, the release of transforming power so evident in th</w:t>
      </w:r>
      <w:r w:rsidR="00B60EFF">
        <w:rPr>
          <w:rFonts w:ascii="Book Antiqua" w:hAnsi="Book Antiqua"/>
        </w:rPr>
        <w:t xml:space="preserve">e lives of prophets, </w:t>
      </w:r>
      <w:r w:rsidR="00A45C6C">
        <w:rPr>
          <w:rFonts w:ascii="Book Antiqua" w:hAnsi="Book Antiqua"/>
        </w:rPr>
        <w:t>mystics</w:t>
      </w:r>
      <w:r w:rsidR="00B60EFF">
        <w:rPr>
          <w:rFonts w:ascii="Book Antiqua" w:hAnsi="Book Antiqua"/>
        </w:rPr>
        <w:t>, and saints</w:t>
      </w:r>
      <w:r w:rsidR="005B44DB">
        <w:rPr>
          <w:rFonts w:ascii="Book Antiqua" w:hAnsi="Book Antiqua"/>
        </w:rPr>
        <w:t xml:space="preserve">, analyzed </w:t>
      </w:r>
      <w:r w:rsidR="00CD0808">
        <w:rPr>
          <w:rFonts w:ascii="Book Antiqua" w:hAnsi="Book Antiqua"/>
        </w:rPr>
        <w:t>in all its concreteness</w:t>
      </w:r>
      <w:r w:rsidR="005B44DB">
        <w:rPr>
          <w:rFonts w:ascii="Book Antiqua" w:hAnsi="Book Antiqua"/>
        </w:rPr>
        <w:t xml:space="preserve"> by Rosemary Haughton,</w:t>
      </w:r>
      <w:r w:rsidR="005B44DB">
        <w:rPr>
          <w:rStyle w:val="FootnoteReference"/>
          <w:rFonts w:ascii="Book Antiqua" w:hAnsi="Book Antiqua"/>
        </w:rPr>
        <w:footnoteReference w:id="149"/>
      </w:r>
      <w:r w:rsidR="005B44DB">
        <w:rPr>
          <w:rFonts w:ascii="Book Antiqua" w:hAnsi="Book Antiqua"/>
        </w:rPr>
        <w:t xml:space="preserve"> and sung by Dylan:</w:t>
      </w:r>
    </w:p>
    <w:p w:rsidR="005B44DB" w:rsidRDefault="005B44DB" w:rsidP="005B44DB">
      <w:pPr>
        <w:tabs>
          <w:tab w:val="left" w:pos="720"/>
        </w:tabs>
        <w:spacing w:after="120"/>
        <w:ind w:left="720"/>
        <w:contextualSpacing/>
        <w:rPr>
          <w:rFonts w:ascii="Book Antiqua" w:hAnsi="Book Antiqua"/>
          <w:sz w:val="20"/>
          <w:szCs w:val="20"/>
        </w:rPr>
      </w:pPr>
      <w:r>
        <w:rPr>
          <w:rFonts w:ascii="Book Antiqua" w:hAnsi="Book Antiqua"/>
          <w:sz w:val="20"/>
          <w:szCs w:val="20"/>
        </w:rPr>
        <w:t>The truth was obscure,</w:t>
      </w:r>
    </w:p>
    <w:p w:rsidR="005B44DB" w:rsidRDefault="005B44DB" w:rsidP="005B44DB">
      <w:pPr>
        <w:tabs>
          <w:tab w:val="left" w:pos="720"/>
        </w:tabs>
        <w:spacing w:after="120"/>
        <w:ind w:left="720"/>
        <w:contextualSpacing/>
        <w:rPr>
          <w:rFonts w:ascii="Book Antiqua" w:hAnsi="Book Antiqua"/>
          <w:sz w:val="20"/>
          <w:szCs w:val="20"/>
        </w:rPr>
      </w:pPr>
      <w:r>
        <w:rPr>
          <w:rFonts w:ascii="Book Antiqua" w:hAnsi="Book Antiqua"/>
          <w:sz w:val="20"/>
          <w:szCs w:val="20"/>
        </w:rPr>
        <w:t>too profound and too pure,</w:t>
      </w:r>
    </w:p>
    <w:p w:rsidR="005B44DB" w:rsidRPr="005B44DB" w:rsidRDefault="005B44DB" w:rsidP="005B44DB">
      <w:pPr>
        <w:tabs>
          <w:tab w:val="left" w:pos="720"/>
        </w:tabs>
        <w:spacing w:after="120"/>
        <w:ind w:left="720"/>
        <w:rPr>
          <w:rFonts w:ascii="Book Antiqua" w:hAnsi="Book Antiqua"/>
          <w:sz w:val="20"/>
          <w:szCs w:val="20"/>
        </w:rPr>
      </w:pPr>
      <w:r>
        <w:rPr>
          <w:rFonts w:ascii="Book Antiqua" w:hAnsi="Book Antiqua"/>
          <w:sz w:val="20"/>
          <w:szCs w:val="20"/>
        </w:rPr>
        <w:t>to live it you have to explode.</w:t>
      </w:r>
      <w:r>
        <w:rPr>
          <w:rStyle w:val="FootnoteReference"/>
          <w:rFonts w:ascii="Book Antiqua" w:hAnsi="Book Antiqua"/>
          <w:sz w:val="20"/>
          <w:szCs w:val="20"/>
        </w:rPr>
        <w:footnoteReference w:id="150"/>
      </w:r>
    </w:p>
    <w:p w:rsidR="00952F7E" w:rsidRDefault="00952F7E" w:rsidP="003352A0">
      <w:pPr>
        <w:tabs>
          <w:tab w:val="left" w:pos="0"/>
        </w:tabs>
        <w:spacing w:after="120"/>
        <w:rPr>
          <w:rFonts w:ascii="Book Antiqua" w:hAnsi="Book Antiqua"/>
        </w:rPr>
      </w:pPr>
      <w:r>
        <w:rPr>
          <w:rFonts w:ascii="Book Antiqua" w:hAnsi="Book Antiqua"/>
        </w:rPr>
        <w:t>The experienced reality of such transforming events, and consequent converted living, has been, of course, widely known and lived in all ages of the Church’s life.  The Thomist breakthrough, though, enabled understanding of that reality as elevation to a new level of being.</w:t>
      </w:r>
      <w:r w:rsidR="00E6789C">
        <w:rPr>
          <w:rFonts w:ascii="Book Antiqua" w:hAnsi="Book Antiqua"/>
        </w:rPr>
        <w:t xml:space="preserve">  And this understanding seemed true to experience.</w:t>
      </w:r>
    </w:p>
    <w:p w:rsidR="00E87B1A" w:rsidRDefault="00952F7E" w:rsidP="003352A0">
      <w:pPr>
        <w:tabs>
          <w:tab w:val="left" w:pos="0"/>
        </w:tabs>
        <w:spacing w:after="120"/>
        <w:rPr>
          <w:rFonts w:ascii="Book Antiqua" w:hAnsi="Book Antiqua"/>
        </w:rPr>
      </w:pPr>
      <w:r>
        <w:rPr>
          <w:rFonts w:ascii="Book Antiqua" w:hAnsi="Book Antiqua"/>
        </w:rPr>
        <w:tab/>
      </w:r>
      <w:r w:rsidR="00E87B1A">
        <w:rPr>
          <w:rFonts w:ascii="Book Antiqua" w:hAnsi="Book Antiqua"/>
        </w:rPr>
        <w:t xml:space="preserve">But this way of thinking also </w:t>
      </w:r>
      <w:r>
        <w:rPr>
          <w:rFonts w:ascii="Book Antiqua" w:hAnsi="Book Antiqua"/>
        </w:rPr>
        <w:t>freed</w:t>
      </w:r>
      <w:r w:rsidR="003352A0">
        <w:rPr>
          <w:rFonts w:ascii="Book Antiqua" w:hAnsi="Book Antiqua"/>
        </w:rPr>
        <w:t xml:space="preserve"> nature to be understood in terms of its own intrinsic dynamisms.  Marie-Dominique Chenu expresses this natural liberation from its prior constriction:</w:t>
      </w:r>
    </w:p>
    <w:p w:rsidR="003352A0" w:rsidRPr="003352A0" w:rsidRDefault="003352A0" w:rsidP="003352A0">
      <w:pPr>
        <w:tabs>
          <w:tab w:val="left" w:pos="720"/>
        </w:tabs>
        <w:spacing w:after="120"/>
        <w:ind w:left="720" w:right="720"/>
        <w:rPr>
          <w:rFonts w:ascii="Book Antiqua" w:hAnsi="Book Antiqua"/>
          <w:sz w:val="20"/>
          <w:szCs w:val="20"/>
        </w:rPr>
      </w:pPr>
      <w:r>
        <w:rPr>
          <w:rFonts w:ascii="Book Antiqua" w:hAnsi="Book Antiqua"/>
          <w:sz w:val="20"/>
          <w:szCs w:val="20"/>
        </w:rPr>
        <w:lastRenderedPageBreak/>
        <w:t xml:space="preserve">Things </w:t>
      </w:r>
      <w:r w:rsidRPr="00452400">
        <w:rPr>
          <w:rFonts w:ascii="Book Antiqua" w:hAnsi="Book Antiqua"/>
          <w:i/>
          <w:sz w:val="20"/>
          <w:szCs w:val="20"/>
        </w:rPr>
        <w:t xml:space="preserve">are </w:t>
      </w:r>
      <w:r>
        <w:rPr>
          <w:rFonts w:ascii="Book Antiqua" w:hAnsi="Book Antiqua"/>
          <w:sz w:val="20"/>
          <w:szCs w:val="20"/>
        </w:rPr>
        <w:t xml:space="preserve">and temporal events </w:t>
      </w:r>
      <w:r w:rsidRPr="00452400">
        <w:rPr>
          <w:rFonts w:ascii="Book Antiqua" w:hAnsi="Book Antiqua"/>
          <w:i/>
          <w:sz w:val="20"/>
          <w:szCs w:val="20"/>
        </w:rPr>
        <w:t>are</w:t>
      </w:r>
      <w:r>
        <w:rPr>
          <w:rFonts w:ascii="Book Antiqua" w:hAnsi="Book Antiqua"/>
          <w:sz w:val="20"/>
          <w:szCs w:val="20"/>
        </w:rPr>
        <w:t xml:space="preserve"> – not just their “eternal reasons.”  The theocratic theology of the Augusti</w:t>
      </w:r>
      <w:r w:rsidR="00452400">
        <w:rPr>
          <w:rFonts w:ascii="Book Antiqua" w:hAnsi="Book Antiqua"/>
          <w:sz w:val="20"/>
          <w:szCs w:val="20"/>
        </w:rPr>
        <w:t xml:space="preserve">nian position considered ideas </w:t>
      </w:r>
      <w:r>
        <w:rPr>
          <w:rFonts w:ascii="Book Antiqua" w:hAnsi="Book Antiqua"/>
          <w:sz w:val="20"/>
          <w:szCs w:val="20"/>
        </w:rPr>
        <w:t>the locus of truth and counterposed them to passing existences, making ideas the objects of a fallacious science that is relegated to subservience to religiosity.  But in Thomism, temporal becoming is absolutely real.</w:t>
      </w:r>
      <w:r>
        <w:rPr>
          <w:rStyle w:val="FootnoteReference"/>
          <w:rFonts w:ascii="Book Antiqua" w:hAnsi="Book Antiqua"/>
          <w:sz w:val="20"/>
          <w:szCs w:val="20"/>
        </w:rPr>
        <w:footnoteReference w:id="151"/>
      </w:r>
    </w:p>
    <w:p w:rsidR="00934881" w:rsidRDefault="00FD7C96" w:rsidP="004F645C">
      <w:pPr>
        <w:tabs>
          <w:tab w:val="left" w:pos="0"/>
        </w:tabs>
        <w:spacing w:after="120"/>
        <w:rPr>
          <w:rFonts w:ascii="Book Antiqua" w:hAnsi="Book Antiqua"/>
        </w:rPr>
      </w:pPr>
      <w:r>
        <w:rPr>
          <w:rFonts w:ascii="Book Antiqua" w:hAnsi="Book Antiqua"/>
        </w:rPr>
        <w:t>And that becoming, the dynamism of contingent realities – including persons in the full contingency of their actual existence – has its own intelligibility.  It is in the intelligence that is able to grasp this intelligibility</w:t>
      </w:r>
      <w:r w:rsidR="00452400">
        <w:rPr>
          <w:rFonts w:ascii="Book Antiqua" w:hAnsi="Book Antiqua"/>
        </w:rPr>
        <w:t>, and to live in its light,</w:t>
      </w:r>
      <w:r>
        <w:rPr>
          <w:rFonts w:ascii="Book Antiqua" w:hAnsi="Book Antiqua"/>
        </w:rPr>
        <w:t xml:space="preserve"> that human persons are </w:t>
      </w:r>
      <w:r w:rsidRPr="00FD7C96">
        <w:rPr>
          <w:rFonts w:ascii="Book Antiqua" w:hAnsi="Book Antiqua"/>
          <w:i/>
        </w:rPr>
        <w:t>imago Dei</w:t>
      </w:r>
      <w:r>
        <w:rPr>
          <w:rFonts w:ascii="Book Antiqua" w:hAnsi="Book Antiqua"/>
        </w:rPr>
        <w:t xml:space="preserve">.  </w:t>
      </w:r>
      <w:r w:rsidR="00452400">
        <w:rPr>
          <w:rFonts w:ascii="Book Antiqua" w:hAnsi="Book Antiqua"/>
        </w:rPr>
        <w:t>But, i</w:t>
      </w:r>
      <w:r>
        <w:rPr>
          <w:rFonts w:ascii="Book Antiqua" w:hAnsi="Book Antiqua"/>
        </w:rPr>
        <w:t xml:space="preserve">n Chenu’s expression, we are first </w:t>
      </w:r>
      <w:r w:rsidRPr="00FD7C96">
        <w:rPr>
          <w:rFonts w:ascii="Book Antiqua" w:hAnsi="Book Antiqua"/>
          <w:i/>
        </w:rPr>
        <w:t>imago mundi</w:t>
      </w:r>
      <w:r w:rsidR="00452400">
        <w:rPr>
          <w:rFonts w:ascii="Book Antiqua" w:hAnsi="Book Antiqua"/>
        </w:rPr>
        <w:t>,</w:t>
      </w:r>
      <w:r w:rsidR="00452400">
        <w:rPr>
          <w:rStyle w:val="FootnoteReference"/>
          <w:rFonts w:ascii="Book Antiqua" w:hAnsi="Book Antiqua"/>
        </w:rPr>
        <w:footnoteReference w:id="152"/>
      </w:r>
      <w:r w:rsidR="00452400">
        <w:rPr>
          <w:rFonts w:ascii="Book Antiqua" w:hAnsi="Book Antiqua"/>
        </w:rPr>
        <w:t xml:space="preserve"> our self-understanding beginning at a more ‘mundane’ level </w:t>
      </w:r>
      <w:r w:rsidR="004817BB">
        <w:rPr>
          <w:rFonts w:ascii="Book Antiqua" w:hAnsi="Book Antiqua"/>
        </w:rPr>
        <w:t>than the imposition of Trinitarian Archetypes.</w:t>
      </w:r>
    </w:p>
    <w:p w:rsidR="00037596" w:rsidRDefault="005A53B9" w:rsidP="004F645C">
      <w:pPr>
        <w:tabs>
          <w:tab w:val="left" w:pos="0"/>
        </w:tabs>
        <w:spacing w:after="120"/>
        <w:rPr>
          <w:rFonts w:ascii="Book Antiqua" w:hAnsi="Book Antiqua"/>
        </w:rPr>
      </w:pPr>
      <w:r>
        <w:rPr>
          <w:rFonts w:ascii="Book Antiqua" w:hAnsi="Book Antiqua"/>
        </w:rPr>
        <w:tab/>
        <w:t xml:space="preserve">Cardinal Scola insisted that it was only consideration of human sexuality as </w:t>
      </w:r>
      <w:r w:rsidRPr="00134220">
        <w:rPr>
          <w:rFonts w:ascii="Book Antiqua" w:hAnsi="Book Antiqua"/>
          <w:i/>
        </w:rPr>
        <w:t>imago Dei</w:t>
      </w:r>
      <w:r>
        <w:rPr>
          <w:rFonts w:ascii="Book Antiqua" w:hAnsi="Book Antiqua"/>
        </w:rPr>
        <w:t xml:space="preserve"> – the counterposing of ideas to passing existences – that enables differentiation from animal sexuality.</w:t>
      </w:r>
      <w:r>
        <w:rPr>
          <w:rStyle w:val="FootnoteReference"/>
          <w:rFonts w:ascii="Book Antiqua" w:hAnsi="Book Antiqua"/>
        </w:rPr>
        <w:footnoteReference w:id="153"/>
      </w:r>
      <w:r>
        <w:rPr>
          <w:rFonts w:ascii="Book Antiqua" w:hAnsi="Book Antiqua"/>
        </w:rPr>
        <w:t xml:space="preserve">  Aquinas’s consideration of affection, from this perspective, was a matter of doing what, in Augustinian principle, cannot be done.  And yet, he did it.</w:t>
      </w:r>
      <w:r w:rsidR="00BD1C49">
        <w:rPr>
          <w:rFonts w:ascii="Book Antiqua" w:hAnsi="Book Antiqua"/>
        </w:rPr>
        <w:t xml:space="preserve">  There was nothing trivializing</w:t>
      </w:r>
      <w:r w:rsidR="00134220">
        <w:rPr>
          <w:rFonts w:ascii="Book Antiqua" w:hAnsi="Book Antiqua"/>
        </w:rPr>
        <w:t xml:space="preserve"> in the Thomist analysis, no claim that such natural affection is all there is.  In fact, his notion of </w:t>
      </w:r>
      <w:r w:rsidR="00134220" w:rsidRPr="00134220">
        <w:rPr>
          <w:rFonts w:ascii="Book Antiqua" w:hAnsi="Book Antiqua"/>
          <w:i/>
        </w:rPr>
        <w:t xml:space="preserve">caritas </w:t>
      </w:r>
      <w:r w:rsidR="00134220">
        <w:rPr>
          <w:rFonts w:ascii="Book Antiqua" w:hAnsi="Book Antiqua"/>
        </w:rPr>
        <w:t>w</w:t>
      </w:r>
      <w:r w:rsidR="007F6E79">
        <w:rPr>
          <w:rFonts w:ascii="Book Antiqua" w:hAnsi="Book Antiqua"/>
        </w:rPr>
        <w:t xml:space="preserve">ill involve a transformation </w:t>
      </w:r>
      <w:r w:rsidR="00134220">
        <w:rPr>
          <w:rFonts w:ascii="Book Antiqua" w:hAnsi="Book Antiqua"/>
        </w:rPr>
        <w:t>into supernatural living</w:t>
      </w:r>
      <w:r w:rsidR="007F6E79">
        <w:rPr>
          <w:rFonts w:ascii="Book Antiqua" w:hAnsi="Book Antiqua"/>
        </w:rPr>
        <w:t xml:space="preserve"> – but precisely as an elevation </w:t>
      </w:r>
      <w:r w:rsidR="007F6E79" w:rsidRPr="009E31D2">
        <w:rPr>
          <w:rFonts w:ascii="Book Antiqua" w:hAnsi="Book Antiqua"/>
          <w:i/>
        </w:rPr>
        <w:t>of</w:t>
      </w:r>
      <w:r w:rsidR="007F6E79">
        <w:rPr>
          <w:rFonts w:ascii="Book Antiqua" w:hAnsi="Book Antiqua"/>
        </w:rPr>
        <w:t xml:space="preserve"> natural affection</w:t>
      </w:r>
      <w:r w:rsidR="00134220">
        <w:rPr>
          <w:rFonts w:ascii="Book Antiqua" w:hAnsi="Book Antiqua"/>
        </w:rPr>
        <w:t>.  Find first the natural inclination, follow it, and you will find the direction of its elevation by grace.</w:t>
      </w:r>
    </w:p>
    <w:p w:rsidR="00134220" w:rsidRDefault="00134220" w:rsidP="004F645C">
      <w:pPr>
        <w:tabs>
          <w:tab w:val="left" w:pos="0"/>
        </w:tabs>
        <w:spacing w:after="120"/>
        <w:rPr>
          <w:rFonts w:ascii="Book Antiqua" w:hAnsi="Book Antiqua"/>
        </w:rPr>
      </w:pPr>
      <w:r>
        <w:rPr>
          <w:rFonts w:ascii="Book Antiqua" w:hAnsi="Book Antiqua"/>
        </w:rPr>
        <w:tab/>
        <w:t>St. Thomas, it seems to me, understood the structured dynamism – the inclination – of affection within his own experience, found the natural categories of Aristotelian science helpful in expressing that understanding, and lived that inclination and its understanding with an openness to the transforming elevation of grace.</w:t>
      </w:r>
      <w:r w:rsidR="008F63F5">
        <w:rPr>
          <w:rFonts w:ascii="Book Antiqua" w:hAnsi="Book Antiqua"/>
        </w:rPr>
        <w:t xml:space="preserve">  But he didn’t seek, in his affectional inclinations, hints as to the nature of Trinitarian Mystery, hints that could be mys</w:t>
      </w:r>
      <w:r w:rsidR="000E0A0E">
        <w:rPr>
          <w:rFonts w:ascii="Book Antiqua" w:hAnsi="Book Antiqua"/>
        </w:rPr>
        <w:t xml:space="preserve">tically intensified, and then </w:t>
      </w:r>
      <w:r w:rsidR="008F63F5">
        <w:rPr>
          <w:rFonts w:ascii="Book Antiqua" w:hAnsi="Book Antiqua"/>
        </w:rPr>
        <w:t xml:space="preserve">turn the </w:t>
      </w:r>
      <w:r w:rsidR="001E573A">
        <w:rPr>
          <w:rFonts w:ascii="Book Antiqua" w:hAnsi="Book Antiqua"/>
        </w:rPr>
        <w:t>light of that intensity</w:t>
      </w:r>
      <w:r w:rsidR="008F63F5">
        <w:rPr>
          <w:rFonts w:ascii="Book Antiqua" w:hAnsi="Book Antiqua"/>
        </w:rPr>
        <w:t xml:space="preserve"> back on his affections in order to understand them.</w:t>
      </w:r>
      <w:r w:rsidR="001E573A">
        <w:rPr>
          <w:rFonts w:ascii="Book Antiqua" w:hAnsi="Book Antiqua"/>
        </w:rPr>
        <w:t xml:space="preserve">  He engaged in no such ‘fallacious science.’  He had sufficient trust in the Wisdom of the Creator of his own contingent existence, that he could seek the intelligibility </w:t>
      </w:r>
      <w:r w:rsidR="001E573A" w:rsidRPr="00643681">
        <w:rPr>
          <w:rFonts w:ascii="Book Antiqua" w:hAnsi="Book Antiqua"/>
          <w:i/>
        </w:rPr>
        <w:t xml:space="preserve">of </w:t>
      </w:r>
      <w:r w:rsidR="001E573A">
        <w:rPr>
          <w:rFonts w:ascii="Book Antiqua" w:hAnsi="Book Antiqua"/>
        </w:rPr>
        <w:t xml:space="preserve">that existence, in its very contingency, </w:t>
      </w:r>
      <w:r w:rsidR="00BD1C49">
        <w:rPr>
          <w:rFonts w:ascii="Book Antiqua" w:hAnsi="Book Antiqua"/>
        </w:rPr>
        <w:t xml:space="preserve">while </w:t>
      </w:r>
      <w:r w:rsidR="001E573A">
        <w:rPr>
          <w:rFonts w:ascii="Book Antiqua" w:hAnsi="Book Antiqua"/>
        </w:rPr>
        <w:t xml:space="preserve">remaining ever open to whatever </w:t>
      </w:r>
      <w:r w:rsidR="007F6E79">
        <w:rPr>
          <w:rFonts w:ascii="Book Antiqua" w:hAnsi="Book Antiqua"/>
        </w:rPr>
        <w:t xml:space="preserve">amazing </w:t>
      </w:r>
      <w:r w:rsidR="001E573A">
        <w:rPr>
          <w:rFonts w:ascii="Book Antiqua" w:hAnsi="Book Antiqua"/>
        </w:rPr>
        <w:t>transformation</w:t>
      </w:r>
      <w:r w:rsidR="00050E89">
        <w:rPr>
          <w:rFonts w:ascii="Book Antiqua" w:hAnsi="Book Antiqua"/>
        </w:rPr>
        <w:t>s</w:t>
      </w:r>
      <w:r w:rsidR="001E573A">
        <w:rPr>
          <w:rFonts w:ascii="Book Antiqua" w:hAnsi="Book Antiqua"/>
        </w:rPr>
        <w:t xml:space="preserve"> grace might work.</w:t>
      </w:r>
    </w:p>
    <w:p w:rsidR="00EE7A54" w:rsidRDefault="000E0A0E" w:rsidP="004F645C">
      <w:pPr>
        <w:tabs>
          <w:tab w:val="left" w:pos="0"/>
        </w:tabs>
        <w:spacing w:after="120"/>
        <w:rPr>
          <w:rFonts w:ascii="Book Antiqua" w:hAnsi="Book Antiqua"/>
        </w:rPr>
      </w:pPr>
      <w:r>
        <w:rPr>
          <w:rFonts w:ascii="Book Antiqua" w:hAnsi="Book Antiqua"/>
        </w:rPr>
        <w:tab/>
        <w:t>One approaches the reality of a person’s sexual orientation quite differently from this perspective, seeking first to understand that inclination in itself, not in terms of Trinitarian nuptiality, nor with a presumption of closure to supernatural transformation.</w:t>
      </w:r>
      <w:r w:rsidR="00B055E4">
        <w:rPr>
          <w:rFonts w:ascii="Book Antiqua" w:hAnsi="Book Antiqua"/>
        </w:rPr>
        <w:t xml:space="preserve">  One begins, in short, with questions, not answers.  Might not a gay man or woman find Aquinas’s analysis of affection an uncannily apt understanding of his or her own experience?  </w:t>
      </w:r>
      <w:r w:rsidR="004B3238">
        <w:rPr>
          <w:rFonts w:ascii="Book Antiqua" w:hAnsi="Book Antiqua"/>
        </w:rPr>
        <w:t>W</w:t>
      </w:r>
      <w:r w:rsidR="00B055E4">
        <w:rPr>
          <w:rFonts w:ascii="Book Antiqua" w:hAnsi="Book Antiqua"/>
        </w:rPr>
        <w:t xml:space="preserve">ouldn’t asking some gay men and women be the way to find out?  </w:t>
      </w:r>
      <w:r w:rsidR="004B3238">
        <w:rPr>
          <w:rFonts w:ascii="Book Antiqua" w:hAnsi="Book Antiqua"/>
        </w:rPr>
        <w:t>I</w:t>
      </w:r>
      <w:r w:rsidR="00B055E4">
        <w:rPr>
          <w:rFonts w:ascii="Book Antiqua" w:hAnsi="Book Antiqua"/>
        </w:rPr>
        <w:t>f consistent differences emerged, might one not try to understand</w:t>
      </w:r>
      <w:r w:rsidR="004B3238">
        <w:rPr>
          <w:rFonts w:ascii="Book Antiqua" w:hAnsi="Book Antiqua"/>
        </w:rPr>
        <w:t xml:space="preserve"> a possible pattern of difference?  Might not the insights of those who have asked such questions from the methodological standpoints of the various arts and sciences – </w:t>
      </w:r>
      <w:r w:rsidR="004B3238">
        <w:rPr>
          <w:rFonts w:ascii="Book Antiqua" w:hAnsi="Book Antiqua"/>
        </w:rPr>
        <w:lastRenderedPageBreak/>
        <w:t xml:space="preserve">biology, psychology, sociology, anthropology, history, </w:t>
      </w:r>
      <w:r w:rsidR="00643681">
        <w:rPr>
          <w:rFonts w:ascii="Book Antiqua" w:hAnsi="Book Antiqua"/>
        </w:rPr>
        <w:t>literature, music</w:t>
      </w:r>
      <w:r w:rsidR="004B3238">
        <w:rPr>
          <w:rFonts w:ascii="Book Antiqua" w:hAnsi="Book Antiqua"/>
        </w:rPr>
        <w:t xml:space="preserve"> – be worth considering?  And might not spiritual directors – listen to Fr. Harvey, yes</w:t>
      </w:r>
      <w:r w:rsidR="00EE7A54">
        <w:rPr>
          <w:rFonts w:ascii="Book Antiqua" w:hAnsi="Book Antiqua"/>
        </w:rPr>
        <w:t>, but Fr. McNeill, too (a dialectic of Johns!) – offer insights into the possible transformation of gay life and love by the virtues of Faith, Hope and Charity?</w:t>
      </w:r>
      <w:r w:rsidR="00F7092F">
        <w:rPr>
          <w:rFonts w:ascii="Book Antiqua" w:hAnsi="Book Antiqua"/>
        </w:rPr>
        <w:t xml:space="preserve">  By their fruits, you shall know them.</w:t>
      </w:r>
    </w:p>
    <w:p w:rsidR="00037596" w:rsidRDefault="00EE7A54" w:rsidP="004F645C">
      <w:pPr>
        <w:tabs>
          <w:tab w:val="left" w:pos="0"/>
        </w:tabs>
        <w:spacing w:after="120"/>
        <w:rPr>
          <w:rFonts w:ascii="Book Antiqua" w:hAnsi="Book Antiqua"/>
        </w:rPr>
      </w:pPr>
      <w:r>
        <w:rPr>
          <w:rFonts w:ascii="Book Antiqua" w:hAnsi="Book Antiqua"/>
        </w:rPr>
        <w:tab/>
        <w:t xml:space="preserve">Proceeding in such a manner is neither neat and tidy, nor easy.  Science is enormously more complex than it was in the thirteenth century, but it is so precisely because of what happened then.  </w:t>
      </w:r>
      <w:r w:rsidR="00135FE6">
        <w:rPr>
          <w:rFonts w:ascii="Book Antiqua" w:hAnsi="Book Antiqua"/>
        </w:rPr>
        <w:t>Thomas forged a key, and there were many who did know how to turn it.  The natural world – the setting of our living and killing, loving and betraying, creating and destroying</w:t>
      </w:r>
      <w:r w:rsidR="008B787D">
        <w:rPr>
          <w:rFonts w:ascii="Book Antiqua" w:hAnsi="Book Antiqua"/>
        </w:rPr>
        <w:t>, dancing and dying</w:t>
      </w:r>
      <w:r w:rsidR="00135FE6">
        <w:rPr>
          <w:rFonts w:ascii="Book Antiqua" w:hAnsi="Book Antiqua"/>
        </w:rPr>
        <w:t xml:space="preserve"> – was opened to exploration, in terms of its own structured dynamism.  The Western mind was once “liberated by theology into an unimpeded exploration of the natural world.”</w:t>
      </w:r>
      <w:r w:rsidR="00135FE6">
        <w:rPr>
          <w:rStyle w:val="FootnoteReference"/>
          <w:rFonts w:ascii="Book Antiqua" w:hAnsi="Book Antiqua"/>
        </w:rPr>
        <w:footnoteReference w:id="154"/>
      </w:r>
      <w:r w:rsidR="00135FE6">
        <w:rPr>
          <w:rFonts w:ascii="Book Antiqua" w:hAnsi="Book Antiqua"/>
        </w:rPr>
        <w:t xml:space="preserve">  Yet now, it seems, theology would have us shrink from that exploration.  </w:t>
      </w:r>
      <w:r w:rsidR="00F7092F">
        <w:rPr>
          <w:rFonts w:ascii="Book Antiqua" w:hAnsi="Book Antiqua"/>
        </w:rPr>
        <w:t>Cardinal Scola insisted that “human thought is made to grasp reality,”</w:t>
      </w:r>
      <w:r w:rsidR="00F7092F">
        <w:rPr>
          <w:rStyle w:val="FootnoteReference"/>
          <w:rFonts w:ascii="Book Antiqua" w:hAnsi="Book Antiqua"/>
        </w:rPr>
        <w:footnoteReference w:id="155"/>
      </w:r>
      <w:r w:rsidR="00F7092F">
        <w:rPr>
          <w:rFonts w:ascii="Book Antiqua" w:hAnsi="Book Antiqua"/>
        </w:rPr>
        <w:t xml:space="preserve"> yet his own thinking seems more to reflect Eliot’s shrug:</w:t>
      </w:r>
    </w:p>
    <w:p w:rsidR="0048468D" w:rsidRDefault="00F7092F" w:rsidP="0048468D">
      <w:pPr>
        <w:spacing w:after="120"/>
        <w:ind w:left="720"/>
        <w:contextualSpacing/>
        <w:rPr>
          <w:rFonts w:ascii="Book Antiqua" w:hAnsi="Book Antiqua"/>
          <w:sz w:val="20"/>
          <w:szCs w:val="20"/>
        </w:rPr>
      </w:pPr>
      <w:r>
        <w:rPr>
          <w:rFonts w:ascii="Book Antiqua" w:hAnsi="Book Antiqua"/>
          <w:sz w:val="20"/>
          <w:szCs w:val="20"/>
        </w:rPr>
        <w:tab/>
      </w:r>
      <w:r w:rsidR="0048468D">
        <w:rPr>
          <w:rFonts w:ascii="Book Antiqua" w:hAnsi="Book Antiqua"/>
          <w:sz w:val="20"/>
          <w:szCs w:val="20"/>
        </w:rPr>
        <w:tab/>
      </w:r>
      <w:r w:rsidR="0048468D">
        <w:rPr>
          <w:rFonts w:ascii="Book Antiqua" w:hAnsi="Book Antiqua"/>
          <w:sz w:val="20"/>
          <w:szCs w:val="20"/>
        </w:rPr>
        <w:tab/>
        <w:t>h</w:t>
      </w:r>
      <w:r>
        <w:rPr>
          <w:rFonts w:ascii="Book Antiqua" w:hAnsi="Book Antiqua"/>
          <w:sz w:val="20"/>
          <w:szCs w:val="20"/>
        </w:rPr>
        <w:t>uman</w:t>
      </w:r>
      <w:r w:rsidR="0048468D">
        <w:rPr>
          <w:rFonts w:ascii="Book Antiqua" w:hAnsi="Book Antiqua"/>
          <w:sz w:val="20"/>
          <w:szCs w:val="20"/>
        </w:rPr>
        <w:t xml:space="preserve"> </w:t>
      </w:r>
      <w:r>
        <w:rPr>
          <w:rFonts w:ascii="Book Antiqua" w:hAnsi="Book Antiqua"/>
          <w:sz w:val="20"/>
          <w:szCs w:val="20"/>
        </w:rPr>
        <w:t>kind</w:t>
      </w:r>
    </w:p>
    <w:p w:rsidR="00F7092F" w:rsidRPr="00F7092F" w:rsidRDefault="0048468D" w:rsidP="0048468D">
      <w:pPr>
        <w:spacing w:after="120"/>
        <w:ind w:left="720"/>
        <w:rPr>
          <w:rFonts w:ascii="Book Antiqua" w:hAnsi="Book Antiqua"/>
          <w:sz w:val="20"/>
          <w:szCs w:val="20"/>
        </w:rPr>
      </w:pPr>
      <w:r>
        <w:rPr>
          <w:rFonts w:ascii="Book Antiqua" w:hAnsi="Book Antiqua"/>
          <w:sz w:val="20"/>
          <w:szCs w:val="20"/>
        </w:rPr>
        <w:t xml:space="preserve"> C</w:t>
      </w:r>
      <w:r w:rsidR="00F7092F">
        <w:rPr>
          <w:rFonts w:ascii="Book Antiqua" w:hAnsi="Book Antiqua"/>
          <w:sz w:val="20"/>
          <w:szCs w:val="20"/>
        </w:rPr>
        <w:t>annot bear very much reality.</w:t>
      </w:r>
      <w:r w:rsidR="00F7092F">
        <w:rPr>
          <w:rStyle w:val="FootnoteReference"/>
          <w:rFonts w:ascii="Book Antiqua" w:hAnsi="Book Antiqua"/>
          <w:sz w:val="20"/>
          <w:szCs w:val="20"/>
        </w:rPr>
        <w:footnoteReference w:id="156"/>
      </w:r>
    </w:p>
    <w:p w:rsidR="00037596" w:rsidRDefault="00B16B74" w:rsidP="004F645C">
      <w:pPr>
        <w:tabs>
          <w:tab w:val="left" w:pos="0"/>
        </w:tabs>
        <w:spacing w:after="120"/>
        <w:rPr>
          <w:rFonts w:ascii="Book Antiqua" w:hAnsi="Book Antiqua"/>
        </w:rPr>
      </w:pPr>
      <w:r>
        <w:rPr>
          <w:rFonts w:ascii="Book Antiqua" w:hAnsi="Book Antiqua"/>
        </w:rPr>
        <w:t>Thus, Chenu refers to the “spiritual escapism” of Augustinian Platonism,</w:t>
      </w:r>
      <w:r>
        <w:rPr>
          <w:rStyle w:val="FootnoteReference"/>
          <w:rFonts w:ascii="Book Antiqua" w:hAnsi="Book Antiqua"/>
        </w:rPr>
        <w:footnoteReference w:id="157"/>
      </w:r>
      <w:r>
        <w:rPr>
          <w:rFonts w:ascii="Book Antiqua" w:hAnsi="Book Antiqua"/>
        </w:rPr>
        <w:t xml:space="preserve"> drawing a series of contrasts between Bonaventure and Aquinas, and between Augustinians and Thomists, which are very much to the point of my present concern.  He notes, for instance, that Bonaventure had objected</w:t>
      </w:r>
      <w:r w:rsidR="007F29A6">
        <w:rPr>
          <w:rFonts w:ascii="Book Antiqua" w:hAnsi="Book Antiqua"/>
        </w:rPr>
        <w:t xml:space="preserve"> to theological use of any notion of natural law.</w:t>
      </w:r>
      <w:r w:rsidR="007F29A6">
        <w:rPr>
          <w:rStyle w:val="FootnoteReference"/>
          <w:rFonts w:ascii="Book Antiqua" w:hAnsi="Book Antiqua"/>
        </w:rPr>
        <w:footnoteReference w:id="158"/>
      </w:r>
      <w:r w:rsidR="007F29A6">
        <w:rPr>
          <w:rFonts w:ascii="Book Antiqua" w:hAnsi="Book Antiqua"/>
        </w:rPr>
        <w:t xml:space="preserve">  Since “admission of our ontological poverty is the expression of our ‘nothingness’” for Augustinians,</w:t>
      </w:r>
      <w:r w:rsidR="007F29A6">
        <w:rPr>
          <w:rStyle w:val="FootnoteReference"/>
          <w:rFonts w:ascii="Book Antiqua" w:hAnsi="Book Antiqua"/>
        </w:rPr>
        <w:footnoteReference w:id="159"/>
      </w:r>
      <w:r w:rsidR="007F29A6">
        <w:rPr>
          <w:rFonts w:ascii="Book Antiqua" w:hAnsi="Book Antiqua"/>
        </w:rPr>
        <w:t xml:space="preserve"> there is literally ‘nothing’ in ‘nature’ warranting theological attention or enabling theological insight.  Thomas, however, gave rapt attention to nature, insisting that the ontological dependence of creatures on Creator indicated not ‘nothingness,’ but </w:t>
      </w:r>
      <w:r w:rsidR="00096368" w:rsidRPr="00096368">
        <w:rPr>
          <w:rFonts w:ascii="Book Antiqua" w:hAnsi="Book Antiqua"/>
          <w:i/>
        </w:rPr>
        <w:t>being</w:t>
      </w:r>
      <w:r w:rsidR="00096368">
        <w:rPr>
          <w:rFonts w:ascii="Book Antiqua" w:hAnsi="Book Antiqua"/>
        </w:rPr>
        <w:t>.  Accordingly, “human creatures still come to exercise a real personal autonomy</w:t>
      </w:r>
      <w:r w:rsidR="00CF7CF4">
        <w:rPr>
          <w:rFonts w:ascii="Book Antiqua" w:hAnsi="Book Antiqua"/>
        </w:rPr>
        <w:t>,</w:t>
      </w:r>
      <w:r w:rsidR="00096368">
        <w:rPr>
          <w:rFonts w:ascii="Book Antiqua" w:hAnsi="Book Antiqua"/>
        </w:rPr>
        <w:t>”</w:t>
      </w:r>
      <w:r w:rsidR="00096368">
        <w:rPr>
          <w:rStyle w:val="FootnoteReference"/>
          <w:rFonts w:ascii="Book Antiqua" w:hAnsi="Book Antiqua"/>
        </w:rPr>
        <w:footnoteReference w:id="160"/>
      </w:r>
      <w:r w:rsidR="00CF7CF4">
        <w:rPr>
          <w:rFonts w:ascii="Book Antiqua" w:hAnsi="Book Antiqua"/>
        </w:rPr>
        <w:t xml:space="preserve"> and it is in the very exercise of that autonomy that natural law can come to be understood.  Augustinian thought rejected this, Bonaventure insisting that it is “dangerous to admit too much to creatures,” shunning natural inquiry “even at the cost of truth.”</w:t>
      </w:r>
      <w:r w:rsidR="00CF7CF4">
        <w:rPr>
          <w:rStyle w:val="FootnoteReference"/>
          <w:rFonts w:ascii="Book Antiqua" w:hAnsi="Book Antiqua"/>
        </w:rPr>
        <w:footnoteReference w:id="161"/>
      </w:r>
      <w:r w:rsidR="00FC0DA9">
        <w:rPr>
          <w:rFonts w:ascii="Book Antiqua" w:hAnsi="Book Antiqua"/>
        </w:rPr>
        <w:t xml:space="preserve">  He insisted, rather, on sole attentiveness to the image of the supernatural projected upon things and the human heart.</w:t>
      </w:r>
      <w:r w:rsidR="007B6BCF">
        <w:rPr>
          <w:rStyle w:val="FootnoteReference"/>
          <w:rFonts w:ascii="Book Antiqua" w:hAnsi="Book Antiqua"/>
        </w:rPr>
        <w:footnoteReference w:id="162"/>
      </w:r>
    </w:p>
    <w:p w:rsidR="002247D6" w:rsidRDefault="002247D6" w:rsidP="004F645C">
      <w:pPr>
        <w:tabs>
          <w:tab w:val="left" w:pos="0"/>
        </w:tabs>
        <w:spacing w:after="120"/>
        <w:rPr>
          <w:rFonts w:ascii="Book Antiqua" w:hAnsi="Book Antiqua"/>
        </w:rPr>
      </w:pPr>
      <w:r>
        <w:rPr>
          <w:rFonts w:ascii="Book Antiqua" w:hAnsi="Book Antiqua"/>
        </w:rPr>
        <w:tab/>
        <w:t>Between Thomas and his Augustinian opponents, there was a commonality of both faith and theological assertion.  Both posited the human person as a union of soul and body, of spirit and matter.  But the manner in which those realitie</w:t>
      </w:r>
      <w:r w:rsidR="00EC6D76">
        <w:rPr>
          <w:rFonts w:ascii="Book Antiqua" w:hAnsi="Book Antiqua"/>
        </w:rPr>
        <w:t xml:space="preserve">s are imagined, understood, </w:t>
      </w:r>
      <w:r>
        <w:rPr>
          <w:rFonts w:ascii="Book Antiqua" w:hAnsi="Book Antiqua"/>
        </w:rPr>
        <w:t>affirmed</w:t>
      </w:r>
      <w:r w:rsidR="00EC6D76">
        <w:rPr>
          <w:rFonts w:ascii="Book Antiqua" w:hAnsi="Book Antiqua"/>
        </w:rPr>
        <w:t xml:space="preserve">, and </w:t>
      </w:r>
      <w:r w:rsidR="00EC6D76">
        <w:rPr>
          <w:rFonts w:ascii="Book Antiqua" w:hAnsi="Book Antiqua"/>
        </w:rPr>
        <w:lastRenderedPageBreak/>
        <w:t>lived</w:t>
      </w:r>
      <w:r>
        <w:rPr>
          <w:rFonts w:ascii="Book Antiqua" w:hAnsi="Book Antiqua"/>
        </w:rPr>
        <w:t xml:space="preserve"> “will clearly shape the outcome of differing anthropologies and spiritualities.”</w:t>
      </w:r>
      <w:r>
        <w:rPr>
          <w:rStyle w:val="FootnoteReference"/>
          <w:rFonts w:ascii="Book Antiqua" w:hAnsi="Book Antiqua"/>
        </w:rPr>
        <w:footnoteReference w:id="163"/>
      </w:r>
      <w:r w:rsidR="00857805">
        <w:rPr>
          <w:rFonts w:ascii="Book Antiqua" w:hAnsi="Book Antiqua"/>
        </w:rPr>
        <w:t xml:space="preserve">  And that, I suggest, is not only what was at issue then, but also what is at stake now.  Chenu notes, for example, that Bonaventure made use of Ari</w:t>
      </w:r>
      <w:r w:rsidR="0059095D">
        <w:rPr>
          <w:rFonts w:ascii="Book Antiqua" w:hAnsi="Book Antiqua"/>
        </w:rPr>
        <w:t>stotelian concepts, but he did s</w:t>
      </w:r>
      <w:r w:rsidR="00857805">
        <w:rPr>
          <w:rFonts w:ascii="Book Antiqua" w:hAnsi="Book Antiqua"/>
        </w:rPr>
        <w:t>o “within a worldview foreign to their spirit and tone.”</w:t>
      </w:r>
      <w:r w:rsidR="00857805">
        <w:rPr>
          <w:rStyle w:val="FootnoteReference"/>
          <w:rFonts w:ascii="Book Antiqua" w:hAnsi="Book Antiqua"/>
        </w:rPr>
        <w:footnoteReference w:id="164"/>
      </w:r>
      <w:r w:rsidR="00857805">
        <w:rPr>
          <w:rFonts w:ascii="Book Antiqua" w:hAnsi="Book Antiqua"/>
        </w:rPr>
        <w:t xml:space="preserve">  </w:t>
      </w:r>
      <w:r w:rsidR="00E36142">
        <w:rPr>
          <w:rFonts w:ascii="Book Antiqua" w:hAnsi="Book Antiqua"/>
        </w:rPr>
        <w:t xml:space="preserve"> Cardinal Scola’s attempt to make use of the Thomist analysis of </w:t>
      </w:r>
      <w:r w:rsidR="00E36142" w:rsidRPr="002E39C5">
        <w:rPr>
          <w:rFonts w:ascii="Book Antiqua" w:hAnsi="Book Antiqua"/>
          <w:i/>
        </w:rPr>
        <w:t>amor naturalis</w:t>
      </w:r>
      <w:r w:rsidR="00C06B7C">
        <w:rPr>
          <w:rFonts w:ascii="Book Antiqua" w:hAnsi="Book Antiqua"/>
        </w:rPr>
        <w:t xml:space="preserve"> is similar</w:t>
      </w:r>
      <w:r w:rsidR="00E36142">
        <w:rPr>
          <w:rFonts w:ascii="Book Antiqua" w:hAnsi="Book Antiqua"/>
        </w:rPr>
        <w:t xml:space="preserve">.  He could interpret that analysis brilliantly, but it simply didn’t ‘fit’ in the worldview underlying his argument.  Thus, too, the unwillingness or inability to face squarely question after question.  Chenu quotes </w:t>
      </w:r>
      <w:r w:rsidR="00D631F3">
        <w:rPr>
          <w:rFonts w:ascii="Book Antiqua" w:hAnsi="Book Antiqua"/>
        </w:rPr>
        <w:t>J</w:t>
      </w:r>
      <w:r w:rsidR="00E36142">
        <w:rPr>
          <w:rFonts w:ascii="Book Antiqua" w:hAnsi="Book Antiqua"/>
        </w:rPr>
        <w:t>.-P. Audet:</w:t>
      </w:r>
    </w:p>
    <w:p w:rsidR="00E36142" w:rsidRPr="00E36142" w:rsidRDefault="00E36142" w:rsidP="00E36142">
      <w:pPr>
        <w:tabs>
          <w:tab w:val="left" w:pos="720"/>
        </w:tabs>
        <w:spacing w:after="120"/>
        <w:ind w:left="720" w:right="720"/>
        <w:rPr>
          <w:rFonts w:ascii="Book Antiqua" w:hAnsi="Book Antiqua"/>
          <w:sz w:val="20"/>
          <w:szCs w:val="20"/>
        </w:rPr>
      </w:pPr>
      <w:r>
        <w:rPr>
          <w:rFonts w:ascii="Book Antiqua" w:hAnsi="Book Antiqua"/>
          <w:sz w:val="20"/>
          <w:szCs w:val="20"/>
        </w:rPr>
        <w:t>In the Platonic world, there is a need for evasion, an obligation to flee from certain things which are considered as irreconcilable with human hope.</w:t>
      </w:r>
      <w:r>
        <w:rPr>
          <w:rStyle w:val="FootnoteReference"/>
          <w:rFonts w:ascii="Book Antiqua" w:hAnsi="Book Antiqua"/>
          <w:sz w:val="20"/>
          <w:szCs w:val="20"/>
        </w:rPr>
        <w:footnoteReference w:id="165"/>
      </w:r>
    </w:p>
    <w:p w:rsidR="00037596" w:rsidRDefault="008752D8" w:rsidP="004F645C">
      <w:pPr>
        <w:tabs>
          <w:tab w:val="left" w:pos="0"/>
        </w:tabs>
        <w:spacing w:after="120"/>
        <w:rPr>
          <w:rFonts w:ascii="Book Antiqua" w:hAnsi="Book Antiqua"/>
        </w:rPr>
      </w:pPr>
      <w:r>
        <w:rPr>
          <w:rFonts w:ascii="Book Antiqua" w:hAnsi="Book Antiqua"/>
        </w:rPr>
        <w:t>In the “realist spirituality”</w:t>
      </w:r>
      <w:r>
        <w:rPr>
          <w:rStyle w:val="FootnoteReference"/>
          <w:rFonts w:ascii="Book Antiqua" w:hAnsi="Book Antiqua"/>
        </w:rPr>
        <w:footnoteReference w:id="166"/>
      </w:r>
      <w:r>
        <w:rPr>
          <w:rFonts w:ascii="Book Antiqua" w:hAnsi="Book Antiqua"/>
        </w:rPr>
        <w:t xml:space="preserve"> of Thomas, hope is far more expansive, and so he “explicitly refused not only the consequences but also the principle of this Augustinian anthropology.”</w:t>
      </w:r>
      <w:r>
        <w:rPr>
          <w:rStyle w:val="FootnoteReference"/>
          <w:rFonts w:ascii="Book Antiqua" w:hAnsi="Book Antiqua"/>
        </w:rPr>
        <w:footnoteReference w:id="167"/>
      </w:r>
      <w:r w:rsidR="00051DC9">
        <w:rPr>
          <w:rFonts w:ascii="Book Antiqua" w:hAnsi="Book Antiqua"/>
        </w:rPr>
        <w:t xml:space="preserve">  </w:t>
      </w:r>
      <w:r w:rsidR="00815018">
        <w:rPr>
          <w:rFonts w:ascii="Book Antiqua" w:hAnsi="Book Antiqua"/>
        </w:rPr>
        <w:t xml:space="preserve">This enabled him to consider, both at length and in depth, the notion of natural moral law “which is discovered and defined by examining human nature, not by setting out with </w:t>
      </w:r>
      <w:r w:rsidR="00815018" w:rsidRPr="00815018">
        <w:rPr>
          <w:rFonts w:ascii="Book Antiqua" w:hAnsi="Book Antiqua"/>
          <w:i/>
        </w:rPr>
        <w:t>a priori</w:t>
      </w:r>
      <w:r w:rsidR="00815018">
        <w:rPr>
          <w:rFonts w:ascii="Book Antiqua" w:hAnsi="Book Antiqua"/>
        </w:rPr>
        <w:t xml:space="preserve"> ideas about the eternal law.”</w:t>
      </w:r>
      <w:r w:rsidR="00815018">
        <w:rPr>
          <w:rStyle w:val="FootnoteReference"/>
          <w:rFonts w:ascii="Book Antiqua" w:hAnsi="Book Antiqua"/>
        </w:rPr>
        <w:footnoteReference w:id="168"/>
      </w:r>
      <w:r w:rsidR="00082BA4">
        <w:rPr>
          <w:rFonts w:ascii="Book Antiqua" w:hAnsi="Book Antiqua"/>
        </w:rPr>
        <w:t xml:space="preserve">  Chenu considers the latter method, with its focus on “the eternal, changeless place natural to the spirit,”</w:t>
      </w:r>
      <w:r w:rsidR="00082BA4">
        <w:rPr>
          <w:rStyle w:val="FootnoteReference"/>
          <w:rFonts w:ascii="Book Antiqua" w:hAnsi="Book Antiqua"/>
        </w:rPr>
        <w:footnoteReference w:id="169"/>
      </w:r>
      <w:r w:rsidR="00082BA4">
        <w:rPr>
          <w:rFonts w:ascii="Book Antiqua" w:hAnsi="Book Antiqua"/>
        </w:rPr>
        <w:t xml:space="preserve"> to constitute a “spiritual imperialism,” which holds itself above “the degradation of</w:t>
      </w:r>
      <w:r w:rsidR="008A6CA4">
        <w:rPr>
          <w:rFonts w:ascii="Book Antiqua" w:hAnsi="Book Antiqua"/>
        </w:rPr>
        <w:t xml:space="preserve"> centrifugal bodily energies,</w:t>
      </w:r>
      <w:r w:rsidR="00082BA4">
        <w:rPr>
          <w:rFonts w:ascii="Book Antiqua" w:hAnsi="Book Antiqua"/>
        </w:rPr>
        <w:t>”</w:t>
      </w:r>
      <w:r w:rsidR="00082BA4">
        <w:rPr>
          <w:rStyle w:val="FootnoteReference"/>
          <w:rFonts w:ascii="Book Antiqua" w:hAnsi="Book Antiqua"/>
        </w:rPr>
        <w:footnoteReference w:id="170"/>
      </w:r>
      <w:r w:rsidR="008A6CA4">
        <w:rPr>
          <w:rFonts w:ascii="Book Antiqua" w:hAnsi="Book Antiqua"/>
        </w:rPr>
        <w:t xml:space="preserve"> whereas, for Thomas, those very ‘bodily energies’ enable the human person to be “the agent of the expansion of creative love into the very texture of matter.”</w:t>
      </w:r>
      <w:r w:rsidR="008A6CA4">
        <w:rPr>
          <w:rStyle w:val="FootnoteReference"/>
          <w:rFonts w:ascii="Book Antiqua" w:hAnsi="Book Antiqua"/>
        </w:rPr>
        <w:footnoteReference w:id="171"/>
      </w:r>
      <w:r w:rsidR="008F2998">
        <w:rPr>
          <w:rFonts w:ascii="Book Antiqua" w:hAnsi="Book Antiqua"/>
        </w:rPr>
        <w:t xml:space="preserve">  Rather than beginning with </w:t>
      </w:r>
      <w:r w:rsidR="008F2998" w:rsidRPr="00C165F3">
        <w:rPr>
          <w:rFonts w:ascii="Book Antiqua" w:hAnsi="Book Antiqua"/>
          <w:i/>
        </w:rPr>
        <w:t>a priori</w:t>
      </w:r>
      <w:r w:rsidR="008F2998">
        <w:rPr>
          <w:rFonts w:ascii="Book Antiqua" w:hAnsi="Book Antiqua"/>
        </w:rPr>
        <w:t xml:space="preserve"> categories derived, e.g., from a notion of nuptial mystery</w:t>
      </w:r>
      <w:r w:rsidR="0068087F">
        <w:rPr>
          <w:rFonts w:ascii="Book Antiqua" w:hAnsi="Book Antiqua"/>
        </w:rPr>
        <w:t>,</w:t>
      </w:r>
      <w:r w:rsidR="008F2998">
        <w:rPr>
          <w:rFonts w:ascii="Book Antiqua" w:hAnsi="Book Antiqua"/>
        </w:rPr>
        <w:t xml:space="preserve"> and imposing them – universally, necessarily, and certainly – on the dynamism of human desire, Thomist realism begins with that very dynamism.  It doesn’t end there; indeed, it anticipates that there will be elevation</w:t>
      </w:r>
      <w:r w:rsidR="00197AC5">
        <w:rPr>
          <w:rFonts w:ascii="Book Antiqua" w:hAnsi="Book Antiqua"/>
        </w:rPr>
        <w:t>s</w:t>
      </w:r>
      <w:r w:rsidR="008F2998">
        <w:rPr>
          <w:rFonts w:ascii="Book Antiqua" w:hAnsi="Book Antiqua"/>
        </w:rPr>
        <w:t>, transformation</w:t>
      </w:r>
      <w:r w:rsidR="00197AC5">
        <w:rPr>
          <w:rFonts w:ascii="Book Antiqua" w:hAnsi="Book Antiqua"/>
        </w:rPr>
        <w:t>s</w:t>
      </w:r>
      <w:r w:rsidR="008F2998">
        <w:rPr>
          <w:rFonts w:ascii="Book Antiqua" w:hAnsi="Book Antiqua"/>
        </w:rPr>
        <w:t>, explosions galore.</w:t>
      </w:r>
      <w:r w:rsidR="00197AC5">
        <w:rPr>
          <w:rFonts w:ascii="Book Antiqua" w:hAnsi="Book Antiqua"/>
        </w:rPr>
        <w:t xml:space="preserve">  Beginning with concrete human desire doesn’t confine us to Scola’s dreaded ‘intraco</w:t>
      </w:r>
      <w:r w:rsidR="00ED3C93">
        <w:rPr>
          <w:rFonts w:ascii="Book Antiqua" w:hAnsi="Book Antiqua"/>
        </w:rPr>
        <w:t>smic realm,’ but it does refuse</w:t>
      </w:r>
      <w:r w:rsidR="00197AC5">
        <w:rPr>
          <w:rFonts w:ascii="Book Antiqua" w:hAnsi="Book Antiqua"/>
        </w:rPr>
        <w:t xml:space="preserve"> the equally real confinement of human possibility through the imposition of </w:t>
      </w:r>
      <w:r w:rsidR="00197AC5" w:rsidRPr="00197AC5">
        <w:rPr>
          <w:rFonts w:ascii="Book Antiqua" w:hAnsi="Book Antiqua"/>
          <w:i/>
        </w:rPr>
        <w:t>a priori</w:t>
      </w:r>
      <w:r w:rsidR="00197AC5">
        <w:rPr>
          <w:rFonts w:ascii="Book Antiqua" w:hAnsi="Book Antiqua"/>
        </w:rPr>
        <w:t xml:space="preserve"> religious categories.</w:t>
      </w:r>
      <w:r w:rsidR="003A6BB0">
        <w:rPr>
          <w:rFonts w:ascii="Book Antiqua" w:hAnsi="Book Antiqua"/>
        </w:rPr>
        <w:t xml:space="preserve">  St. Thomas thought, prayed, and lived with an abiding trust that “human intelligence is the effect and the guarantee of a sense of mystery.”</w:t>
      </w:r>
      <w:r w:rsidR="003A6BB0">
        <w:rPr>
          <w:rStyle w:val="FootnoteReference"/>
          <w:rFonts w:ascii="Book Antiqua" w:hAnsi="Book Antiqua"/>
        </w:rPr>
        <w:footnoteReference w:id="172"/>
      </w:r>
      <w:r w:rsidR="003A6BB0">
        <w:rPr>
          <w:rFonts w:ascii="Book Antiqua" w:hAnsi="Book Antiqua"/>
        </w:rPr>
        <w:t xml:space="preserve">  Without that sense, to be sure, reductionism ensues</w:t>
      </w:r>
      <w:r w:rsidR="00C91475">
        <w:rPr>
          <w:rFonts w:ascii="Book Antiqua" w:hAnsi="Book Antiqua"/>
        </w:rPr>
        <w:t xml:space="preserve">, and the </w:t>
      </w:r>
      <w:r w:rsidR="00C91475" w:rsidRPr="00C91475">
        <w:rPr>
          <w:rFonts w:ascii="Book Antiqua" w:hAnsi="Book Antiqua"/>
          <w:i/>
        </w:rPr>
        <w:t>humanum</w:t>
      </w:r>
      <w:r w:rsidR="00C91475">
        <w:rPr>
          <w:rFonts w:ascii="Book Antiqua" w:hAnsi="Book Antiqua"/>
        </w:rPr>
        <w:t xml:space="preserve"> is reduced to the sociobiological caricature</w:t>
      </w:r>
      <w:r w:rsidR="00717E28">
        <w:rPr>
          <w:rFonts w:ascii="Book Antiqua" w:hAnsi="Book Antiqua"/>
        </w:rPr>
        <w:t xml:space="preserve"> that is widespread </w:t>
      </w:r>
      <w:r w:rsidR="00A403D7">
        <w:rPr>
          <w:rFonts w:ascii="Book Antiqua" w:hAnsi="Book Antiqua"/>
        </w:rPr>
        <w:t xml:space="preserve">in the </w:t>
      </w:r>
      <w:r w:rsidR="00903674">
        <w:rPr>
          <w:rFonts w:ascii="Book Antiqua" w:hAnsi="Book Antiqua"/>
        </w:rPr>
        <w:t xml:space="preserve">Heideggerian </w:t>
      </w:r>
      <w:r w:rsidR="00903674" w:rsidRPr="00903674">
        <w:rPr>
          <w:rFonts w:ascii="Book Antiqua" w:hAnsi="Book Antiqua"/>
          <w:i/>
        </w:rPr>
        <w:t>da</w:t>
      </w:r>
      <w:r w:rsidR="00903674">
        <w:rPr>
          <w:rFonts w:ascii="Book Antiqua" w:hAnsi="Book Antiqua"/>
        </w:rPr>
        <w:t xml:space="preserve"> of our </w:t>
      </w:r>
      <w:r w:rsidR="00903674" w:rsidRPr="00903674">
        <w:rPr>
          <w:rFonts w:ascii="Book Antiqua" w:hAnsi="Book Antiqua"/>
          <w:i/>
        </w:rPr>
        <w:t>sein</w:t>
      </w:r>
      <w:r w:rsidR="00903674">
        <w:rPr>
          <w:rFonts w:ascii="Book Antiqua" w:hAnsi="Book Antiqua"/>
        </w:rPr>
        <w:t xml:space="preserve">.  </w:t>
      </w:r>
      <w:r w:rsidR="00A37C39">
        <w:rPr>
          <w:rFonts w:ascii="Book Antiqua" w:hAnsi="Book Antiqua"/>
        </w:rPr>
        <w:t>But comparable caricatures have been widespread in every age of the Church’s life and mission.  They were no more absent from the thirteenth century than from our own.</w:t>
      </w:r>
      <w:r w:rsidR="00C04C9A">
        <w:rPr>
          <w:rFonts w:ascii="Book Antiqua" w:hAnsi="Book Antiqua"/>
        </w:rPr>
        <w:t xml:space="preserve">  But there are theological caricatures, too, now as there were then.  The</w:t>
      </w:r>
      <w:r w:rsidR="00C04C9A" w:rsidRPr="00C04C9A">
        <w:rPr>
          <w:rFonts w:ascii="Book Antiqua" w:hAnsi="Book Antiqua"/>
          <w:i/>
        </w:rPr>
        <w:t xml:space="preserve"> humanum</w:t>
      </w:r>
      <w:r w:rsidR="00C04C9A">
        <w:rPr>
          <w:rFonts w:ascii="Book Antiqua" w:hAnsi="Book Antiqua"/>
        </w:rPr>
        <w:t xml:space="preserve"> can be reduced by religion, as well as by science.</w:t>
      </w:r>
      <w:r w:rsidR="003B19B3">
        <w:rPr>
          <w:rFonts w:ascii="Book Antiqua" w:hAnsi="Book Antiqua"/>
        </w:rPr>
        <w:t xml:space="preserve">  Dogmatic mystification is no more adequate to the reality of who we are </w:t>
      </w:r>
      <w:r w:rsidR="003B19B3">
        <w:rPr>
          <w:rFonts w:ascii="Book Antiqua" w:hAnsi="Book Antiqua"/>
        </w:rPr>
        <w:lastRenderedPageBreak/>
        <w:t>than is any dogmatic Darwinism, and proposing the former as an adequate response to the latter is a fool’s errand</w:t>
      </w:r>
      <w:r w:rsidR="00D81D76">
        <w:rPr>
          <w:rFonts w:ascii="Book Antiqua" w:hAnsi="Book Antiqua"/>
        </w:rPr>
        <w:t xml:space="preserve"> – no matter who sends you as their ‘errand boy.’</w:t>
      </w:r>
    </w:p>
    <w:p w:rsidR="00037596" w:rsidRDefault="00CA0D13" w:rsidP="004F645C">
      <w:pPr>
        <w:tabs>
          <w:tab w:val="left" w:pos="0"/>
        </w:tabs>
        <w:spacing w:after="120"/>
        <w:rPr>
          <w:rFonts w:ascii="Book Antiqua" w:hAnsi="Book Antiqua"/>
        </w:rPr>
      </w:pPr>
      <w:r>
        <w:rPr>
          <w:rFonts w:ascii="Book Antiqua" w:hAnsi="Book Antiqua"/>
        </w:rPr>
        <w:tab/>
        <w:t xml:space="preserve">Concerning the moral teaching of the </w:t>
      </w:r>
      <w:r w:rsidRPr="00CA0D13">
        <w:rPr>
          <w:rFonts w:ascii="Book Antiqua" w:hAnsi="Book Antiqua"/>
          <w:i/>
        </w:rPr>
        <w:t>prima secundae</w:t>
      </w:r>
      <w:r>
        <w:rPr>
          <w:rFonts w:ascii="Book Antiqua" w:hAnsi="Book Antiqua"/>
        </w:rPr>
        <w:t>, Chenu remarks that</w:t>
      </w:r>
    </w:p>
    <w:p w:rsidR="00CA0D13" w:rsidRPr="00CA0D13" w:rsidRDefault="00CA0D13" w:rsidP="00CA0D13">
      <w:pPr>
        <w:tabs>
          <w:tab w:val="left" w:pos="720"/>
        </w:tabs>
        <w:spacing w:after="120"/>
        <w:ind w:left="720" w:right="720"/>
        <w:rPr>
          <w:rFonts w:ascii="Book Antiqua" w:hAnsi="Book Antiqua"/>
          <w:sz w:val="20"/>
          <w:szCs w:val="20"/>
        </w:rPr>
      </w:pPr>
      <w:r>
        <w:rPr>
          <w:rFonts w:ascii="Book Antiqua" w:hAnsi="Book Antiqua"/>
          <w:sz w:val="20"/>
          <w:szCs w:val="20"/>
        </w:rPr>
        <w:t xml:space="preserve">there are surprises here for a certain type of moralist who looks only at </w:t>
      </w:r>
      <w:r w:rsidRPr="00CA0D13">
        <w:rPr>
          <w:rFonts w:ascii="Book Antiqua" w:hAnsi="Book Antiqua"/>
          <w:i/>
          <w:sz w:val="20"/>
          <w:szCs w:val="20"/>
        </w:rPr>
        <w:t>a priori</w:t>
      </w:r>
      <w:r>
        <w:rPr>
          <w:rFonts w:ascii="Book Antiqua" w:hAnsi="Book Antiqua"/>
          <w:sz w:val="20"/>
          <w:szCs w:val="20"/>
        </w:rPr>
        <w:t xml:space="preserve"> considerations and who extrapolates metaphysical and mystical ideas foreign to practical human behavior and to its internal criteria of freedom.</w:t>
      </w:r>
      <w:r>
        <w:rPr>
          <w:rStyle w:val="FootnoteReference"/>
          <w:rFonts w:ascii="Book Antiqua" w:hAnsi="Book Antiqua"/>
          <w:sz w:val="20"/>
          <w:szCs w:val="20"/>
        </w:rPr>
        <w:footnoteReference w:id="173"/>
      </w:r>
    </w:p>
    <w:p w:rsidR="00037596" w:rsidRDefault="00CA0D13" w:rsidP="004F645C">
      <w:pPr>
        <w:tabs>
          <w:tab w:val="left" w:pos="0"/>
        </w:tabs>
        <w:spacing w:after="120"/>
        <w:rPr>
          <w:rFonts w:ascii="Book Antiqua" w:hAnsi="Book Antiqua"/>
        </w:rPr>
      </w:pPr>
      <w:r>
        <w:rPr>
          <w:rFonts w:ascii="Book Antiqua" w:hAnsi="Book Antiqua"/>
        </w:rPr>
        <w:t xml:space="preserve">They are the kind </w:t>
      </w:r>
      <w:r w:rsidR="00903674">
        <w:rPr>
          <w:rFonts w:ascii="Book Antiqua" w:hAnsi="Book Antiqua"/>
        </w:rPr>
        <w:t xml:space="preserve">of </w:t>
      </w:r>
      <w:r>
        <w:rPr>
          <w:rFonts w:ascii="Book Antiqua" w:hAnsi="Book Antiqua"/>
        </w:rPr>
        <w:t>surprises that re</w:t>
      </w:r>
      <w:r w:rsidR="00917A4C">
        <w:rPr>
          <w:rFonts w:ascii="Book Antiqua" w:hAnsi="Book Antiqua"/>
        </w:rPr>
        <w:t>sult from Noonan’s modes of “deepening the understanding of revelation.”</w:t>
      </w:r>
      <w:r w:rsidR="00917A4C">
        <w:rPr>
          <w:rStyle w:val="FootnoteReference"/>
          <w:rFonts w:ascii="Book Antiqua" w:hAnsi="Book Antiqua"/>
        </w:rPr>
        <w:footnoteReference w:id="174"/>
      </w:r>
      <w:r w:rsidR="00917A4C">
        <w:rPr>
          <w:rFonts w:ascii="Book Antiqua" w:hAnsi="Book Antiqua"/>
        </w:rPr>
        <w:t xml:space="preserve">  Is it possible that homosexual desire growing toward natural love and open to the tra</w:t>
      </w:r>
      <w:r w:rsidR="00073461">
        <w:rPr>
          <w:rFonts w:ascii="Book Antiqua" w:hAnsi="Book Antiqua"/>
        </w:rPr>
        <w:t xml:space="preserve">nsformation of supernatural </w:t>
      </w:r>
      <w:r w:rsidR="00073461" w:rsidRPr="00073461">
        <w:rPr>
          <w:rFonts w:ascii="Book Antiqua" w:hAnsi="Book Antiqua"/>
          <w:i/>
        </w:rPr>
        <w:t>caritas</w:t>
      </w:r>
      <w:r w:rsidR="00917A4C">
        <w:rPr>
          <w:rFonts w:ascii="Book Antiqua" w:hAnsi="Book Antiqua"/>
        </w:rPr>
        <w:t xml:space="preserve"> is precisely such a surprise?</w:t>
      </w:r>
      <w:r w:rsidR="00FA68BC">
        <w:rPr>
          <w:rFonts w:ascii="Book Antiqua" w:hAnsi="Book Antiqua"/>
        </w:rPr>
        <w:t xml:space="preserve">  </w:t>
      </w:r>
      <w:r w:rsidR="00073461">
        <w:rPr>
          <w:rFonts w:ascii="Book Antiqua" w:hAnsi="Book Antiqua"/>
        </w:rPr>
        <w:t>Can gay love</w:t>
      </w:r>
      <w:r w:rsidR="007A15CD">
        <w:rPr>
          <w:rFonts w:ascii="Book Antiqua" w:hAnsi="Book Antiqua"/>
        </w:rPr>
        <w:t>, too,</w:t>
      </w:r>
      <w:r w:rsidR="00073461">
        <w:rPr>
          <w:rFonts w:ascii="Book Antiqua" w:hAnsi="Book Antiqua"/>
        </w:rPr>
        <w:t xml:space="preserve"> be “the agent of the expansion of creative love into the very texture of matter”?</w:t>
      </w:r>
      <w:r w:rsidR="00073461">
        <w:rPr>
          <w:rStyle w:val="FootnoteReference"/>
          <w:rFonts w:ascii="Book Antiqua" w:hAnsi="Book Antiqua"/>
        </w:rPr>
        <w:footnoteReference w:id="175"/>
      </w:r>
      <w:r w:rsidR="00073461">
        <w:rPr>
          <w:rFonts w:ascii="Book Antiqua" w:hAnsi="Book Antiqua"/>
        </w:rPr>
        <w:t xml:space="preserve">  </w:t>
      </w:r>
      <w:r w:rsidR="00FA68BC">
        <w:rPr>
          <w:rFonts w:ascii="Book Antiqua" w:hAnsi="Book Antiqua"/>
        </w:rPr>
        <w:t xml:space="preserve">We will never </w:t>
      </w:r>
      <w:r w:rsidR="00FA68BC" w:rsidRPr="00FA68BC">
        <w:rPr>
          <w:rFonts w:ascii="Book Antiqua" w:hAnsi="Book Antiqua"/>
          <w:i/>
        </w:rPr>
        <w:t>know</w:t>
      </w:r>
      <w:r w:rsidR="00FA68BC">
        <w:rPr>
          <w:rFonts w:ascii="Book Antiqua" w:hAnsi="Book Antiqua"/>
        </w:rPr>
        <w:t xml:space="preserve"> the answer to that question without </w:t>
      </w:r>
      <w:r w:rsidR="00FA68BC" w:rsidRPr="00FA68BC">
        <w:rPr>
          <w:rFonts w:ascii="Book Antiqua" w:hAnsi="Book Antiqua"/>
          <w:i/>
        </w:rPr>
        <w:t>asking</w:t>
      </w:r>
      <w:r w:rsidR="00FA68BC">
        <w:rPr>
          <w:rFonts w:ascii="Book Antiqua" w:hAnsi="Book Antiqua"/>
        </w:rPr>
        <w:t xml:space="preserve"> it.</w:t>
      </w:r>
      <w:r w:rsidR="007A15CD">
        <w:rPr>
          <w:rFonts w:ascii="Book Antiqua" w:hAnsi="Book Antiqua"/>
        </w:rPr>
        <w:t xml:space="preserve">  Our tradition provides us with no ready-made answer, because</w:t>
      </w:r>
      <w:r w:rsidR="003B3354">
        <w:rPr>
          <w:rFonts w:ascii="Book Antiqua" w:hAnsi="Book Antiqua"/>
        </w:rPr>
        <w:t xml:space="preserve"> it really is a new question.  But t</w:t>
      </w:r>
      <w:r w:rsidR="002A5335">
        <w:rPr>
          <w:rFonts w:ascii="Book Antiqua" w:hAnsi="Book Antiqua"/>
        </w:rPr>
        <w:t>here are, if one looks for them</w:t>
      </w:r>
      <w:r w:rsidR="00437FF4">
        <w:rPr>
          <w:rFonts w:ascii="Book Antiqua" w:hAnsi="Book Antiqua"/>
        </w:rPr>
        <w:t>, pointers in the tradition, and to them we must attend.</w:t>
      </w:r>
    </w:p>
    <w:p w:rsidR="003B67E7" w:rsidRDefault="003B67E7" w:rsidP="004F645C">
      <w:pPr>
        <w:tabs>
          <w:tab w:val="left" w:pos="0"/>
        </w:tabs>
        <w:spacing w:after="120"/>
        <w:rPr>
          <w:rFonts w:ascii="Book Antiqua" w:hAnsi="Book Antiqua"/>
        </w:rPr>
      </w:pPr>
      <w:r>
        <w:rPr>
          <w:rFonts w:ascii="Book Antiqua" w:hAnsi="Book Antiqua"/>
        </w:rPr>
        <w:tab/>
        <w:t>Two Thomist texts point me in just such a potentially surprising direction:</w:t>
      </w:r>
    </w:p>
    <w:p w:rsidR="003B67E7" w:rsidRDefault="003B67E7" w:rsidP="003B67E7">
      <w:pPr>
        <w:tabs>
          <w:tab w:val="left" w:pos="720"/>
        </w:tabs>
        <w:spacing w:after="120"/>
        <w:ind w:left="720" w:right="720"/>
        <w:rPr>
          <w:rFonts w:ascii="Book Antiqua" w:hAnsi="Book Antiqua"/>
          <w:sz w:val="20"/>
          <w:szCs w:val="20"/>
        </w:rPr>
      </w:pPr>
      <w:r>
        <w:rPr>
          <w:rFonts w:ascii="Book Antiqua" w:hAnsi="Book Antiqua"/>
          <w:sz w:val="20"/>
          <w:szCs w:val="20"/>
        </w:rPr>
        <w:t>Because of the diverse conditions of humans, it happens that some acts are virtuous to some people and suitable to them, while the same acts are immoral for others, as inappropriate to them.</w:t>
      </w:r>
      <w:r>
        <w:rPr>
          <w:rStyle w:val="FootnoteReference"/>
          <w:rFonts w:ascii="Book Antiqua" w:hAnsi="Book Antiqua"/>
          <w:sz w:val="20"/>
          <w:szCs w:val="20"/>
        </w:rPr>
        <w:footnoteReference w:id="176"/>
      </w:r>
    </w:p>
    <w:p w:rsidR="003B67E7" w:rsidRPr="003B67E7" w:rsidRDefault="008B54F9" w:rsidP="003B67E7">
      <w:pPr>
        <w:tabs>
          <w:tab w:val="left" w:pos="720"/>
        </w:tabs>
        <w:spacing w:after="120"/>
        <w:ind w:left="720" w:right="720"/>
        <w:rPr>
          <w:rFonts w:ascii="Book Antiqua" w:hAnsi="Book Antiqua"/>
          <w:sz w:val="20"/>
          <w:szCs w:val="20"/>
        </w:rPr>
      </w:pPr>
      <w:r>
        <w:rPr>
          <w:rFonts w:ascii="Book Antiqua" w:hAnsi="Book Antiqua"/>
          <w:sz w:val="20"/>
          <w:szCs w:val="20"/>
        </w:rPr>
        <w:t>For it can occur that in</w:t>
      </w:r>
      <w:r w:rsidR="003B67E7">
        <w:rPr>
          <w:rFonts w:ascii="Book Antiqua" w:hAnsi="Book Antiqua"/>
          <w:sz w:val="20"/>
          <w:szCs w:val="20"/>
        </w:rPr>
        <w:t xml:space="preserve"> a particular individual there can be a breakdown of some natural principle of the species and thus what is contrary to the nature of the species can become by accident natural to this individual.</w:t>
      </w:r>
      <w:r w:rsidR="003B67E7">
        <w:rPr>
          <w:rStyle w:val="FootnoteReference"/>
          <w:rFonts w:ascii="Book Antiqua" w:hAnsi="Book Antiqua"/>
          <w:sz w:val="20"/>
          <w:szCs w:val="20"/>
        </w:rPr>
        <w:footnoteReference w:id="177"/>
      </w:r>
    </w:p>
    <w:p w:rsidR="000867BE" w:rsidRDefault="003B67E7" w:rsidP="000867BE">
      <w:pPr>
        <w:tabs>
          <w:tab w:val="left" w:pos="0"/>
        </w:tabs>
        <w:spacing w:after="120"/>
        <w:rPr>
          <w:rFonts w:ascii="Book Antiqua" w:hAnsi="Book Antiqua"/>
        </w:rPr>
      </w:pPr>
      <w:r>
        <w:rPr>
          <w:rFonts w:ascii="Book Antiqua" w:hAnsi="Book Antiqua"/>
        </w:rPr>
        <w:t xml:space="preserve">In the latter instance, St. Thomas explicitly mentions among his examples, </w:t>
      </w:r>
      <w:r w:rsidR="00792CC8">
        <w:rPr>
          <w:rFonts w:ascii="Book Antiqua" w:hAnsi="Book Antiqua"/>
          <w:i/>
        </w:rPr>
        <w:t xml:space="preserve">in </w:t>
      </w:r>
      <w:proofErr w:type="spellStart"/>
      <w:r w:rsidR="00792CC8">
        <w:rPr>
          <w:rFonts w:ascii="Book Antiqua" w:hAnsi="Book Antiqua"/>
          <w:i/>
        </w:rPr>
        <w:t>coitu</w:t>
      </w:r>
      <w:proofErr w:type="spellEnd"/>
      <w:r w:rsidRPr="003B67E7">
        <w:rPr>
          <w:rFonts w:ascii="Book Antiqua" w:hAnsi="Book Antiqua"/>
          <w:i/>
        </w:rPr>
        <w:t xml:space="preserve"> masculorum</w:t>
      </w:r>
      <w:r>
        <w:rPr>
          <w:rFonts w:ascii="Book Antiqua" w:hAnsi="Book Antiqua"/>
        </w:rPr>
        <w:t xml:space="preserve">, acknowledging that for some persons this can be </w:t>
      </w:r>
      <w:r w:rsidRPr="003B67E7">
        <w:rPr>
          <w:rFonts w:ascii="Book Antiqua" w:hAnsi="Book Antiqua"/>
          <w:i/>
        </w:rPr>
        <w:t>connaturale secundum quid</w:t>
      </w:r>
      <w:r>
        <w:rPr>
          <w:rFonts w:ascii="Book Antiqua" w:hAnsi="Book Antiqua"/>
        </w:rPr>
        <w:t>.</w:t>
      </w:r>
      <w:r w:rsidR="007840C0">
        <w:rPr>
          <w:rFonts w:ascii="Book Antiqua" w:hAnsi="Book Antiqua"/>
        </w:rPr>
        <w:t xml:space="preserve">  There is recognition here that a p</w:t>
      </w:r>
      <w:r w:rsidR="007F2086">
        <w:rPr>
          <w:rFonts w:ascii="Book Antiqua" w:hAnsi="Book Antiqua"/>
        </w:rPr>
        <w:t>erson is more than a member of the</w:t>
      </w:r>
      <w:r w:rsidR="007840C0">
        <w:rPr>
          <w:rFonts w:ascii="Book Antiqua" w:hAnsi="Book Antiqua"/>
        </w:rPr>
        <w:t xml:space="preserve"> species, something that both ideological Darwinians and ideological Aristotelians </w:t>
      </w:r>
      <w:r w:rsidR="000867BE">
        <w:rPr>
          <w:rFonts w:ascii="Book Antiqua" w:hAnsi="Book Antiqua"/>
        </w:rPr>
        <w:t xml:space="preserve">can easily </w:t>
      </w:r>
      <w:r w:rsidR="007840C0">
        <w:rPr>
          <w:rFonts w:ascii="Book Antiqua" w:hAnsi="Book Antiqua"/>
        </w:rPr>
        <w:t>tend to forget.</w:t>
      </w:r>
      <w:r w:rsidR="000867BE">
        <w:rPr>
          <w:rFonts w:ascii="Book Antiqua" w:hAnsi="Book Antiqua"/>
        </w:rPr>
        <w:t xml:space="preserve">  In any ideological system, whether intellectual or political, there is a tend</w:t>
      </w:r>
      <w:r w:rsidR="00E81BA5">
        <w:rPr>
          <w:rFonts w:ascii="Book Antiqua" w:hAnsi="Book Antiqua"/>
        </w:rPr>
        <w:t>ing towards total</w:t>
      </w:r>
      <w:r w:rsidR="000867BE">
        <w:rPr>
          <w:rFonts w:ascii="Book Antiqua" w:hAnsi="Book Antiqua"/>
        </w:rPr>
        <w:t>ism, in which the individual person is simply “a multitude of one million divided by one million.”</w:t>
      </w:r>
      <w:r w:rsidR="000867BE">
        <w:rPr>
          <w:rStyle w:val="FootnoteReference"/>
          <w:rFonts w:ascii="Book Antiqua" w:hAnsi="Book Antiqua"/>
        </w:rPr>
        <w:footnoteReference w:id="178"/>
      </w:r>
      <w:r w:rsidR="006536CB">
        <w:rPr>
          <w:rFonts w:ascii="Book Antiqua" w:hAnsi="Book Antiqua"/>
        </w:rPr>
        <w:t xml:space="preserve">  No such ideological totalizing tempts Thomas.  However systematic he seems, awareness of inclinations that may be ‘natural to </w:t>
      </w:r>
      <w:r w:rsidR="006536CB" w:rsidRPr="006536CB">
        <w:rPr>
          <w:rFonts w:ascii="Book Antiqua" w:hAnsi="Book Antiqua"/>
          <w:i/>
        </w:rPr>
        <w:t>this</w:t>
      </w:r>
      <w:r w:rsidR="006536CB">
        <w:rPr>
          <w:rFonts w:ascii="Book Antiqua" w:hAnsi="Book Antiqua"/>
        </w:rPr>
        <w:t xml:space="preserve"> individual’ accords his thinking on persons an openness rooted in awareness of </w:t>
      </w:r>
      <w:r w:rsidR="006536CB" w:rsidRPr="006536CB">
        <w:rPr>
          <w:rFonts w:ascii="Book Antiqua" w:hAnsi="Book Antiqua"/>
          <w:i/>
        </w:rPr>
        <w:t>this</w:t>
      </w:r>
      <w:r w:rsidR="006536CB">
        <w:rPr>
          <w:rFonts w:ascii="Book Antiqua" w:hAnsi="Book Antiqua"/>
        </w:rPr>
        <w:t xml:space="preserve"> person’s freedom as both coming forth from God and beckoned to return to God precisely in the this-ness of that </w:t>
      </w:r>
      <w:r w:rsidR="00927769">
        <w:rPr>
          <w:rFonts w:ascii="Book Antiqua" w:hAnsi="Book Antiqua"/>
        </w:rPr>
        <w:t xml:space="preserve">situated </w:t>
      </w:r>
      <w:r w:rsidR="006536CB">
        <w:rPr>
          <w:rFonts w:ascii="Book Antiqua" w:hAnsi="Book Antiqua"/>
        </w:rPr>
        <w:t>freedom.</w:t>
      </w:r>
      <w:r w:rsidR="00E073CA">
        <w:rPr>
          <w:rFonts w:ascii="Book Antiqua" w:hAnsi="Book Antiqua"/>
        </w:rPr>
        <w:t xml:space="preserve">  His veh</w:t>
      </w:r>
      <w:r w:rsidR="00C47172">
        <w:rPr>
          <w:rFonts w:ascii="Book Antiqua" w:hAnsi="Book Antiqua"/>
        </w:rPr>
        <w:t>ement rejection of the Averroist</w:t>
      </w:r>
      <w:r w:rsidR="00E073CA">
        <w:rPr>
          <w:rFonts w:ascii="Book Antiqua" w:hAnsi="Book Antiqua"/>
        </w:rPr>
        <w:t xml:space="preserve"> notion of </w:t>
      </w:r>
      <w:r w:rsidR="00150BB0">
        <w:rPr>
          <w:rFonts w:ascii="Book Antiqua" w:hAnsi="Book Antiqua"/>
        </w:rPr>
        <w:t>some universal human mind received its vehemence precisely from this awareness.</w:t>
      </w:r>
    </w:p>
    <w:p w:rsidR="009337A9" w:rsidRDefault="009337A9" w:rsidP="000867BE">
      <w:pPr>
        <w:tabs>
          <w:tab w:val="left" w:pos="0"/>
        </w:tabs>
        <w:spacing w:after="120"/>
        <w:rPr>
          <w:rFonts w:ascii="Book Antiqua" w:hAnsi="Book Antiqua"/>
        </w:rPr>
      </w:pPr>
      <w:r>
        <w:rPr>
          <w:rFonts w:ascii="Book Antiqua" w:hAnsi="Book Antiqua"/>
        </w:rPr>
        <w:lastRenderedPageBreak/>
        <w:tab/>
        <w:t>Josef Pieper also highlights</w:t>
      </w:r>
    </w:p>
    <w:p w:rsidR="009337A9" w:rsidRPr="009337A9" w:rsidRDefault="009337A9" w:rsidP="009337A9">
      <w:pPr>
        <w:tabs>
          <w:tab w:val="left" w:pos="720"/>
        </w:tabs>
        <w:spacing w:after="120"/>
        <w:ind w:left="720" w:right="720"/>
        <w:rPr>
          <w:rFonts w:ascii="Book Antiqua" w:hAnsi="Book Antiqua"/>
          <w:sz w:val="20"/>
          <w:szCs w:val="20"/>
        </w:rPr>
      </w:pPr>
      <w:r>
        <w:rPr>
          <w:rFonts w:ascii="Book Antiqua" w:hAnsi="Book Antiqua"/>
          <w:sz w:val="20"/>
          <w:szCs w:val="20"/>
        </w:rPr>
        <w:t>that affirmation of the natural reality of creation which is so characteristic of St. Thomas.  All created things are good because they were created by God.  For that same reason, they have a reality and effectiveness of their own, which may not be ignored or obliterated through making absolute in one way or another the “spiritual” or “religious” element in man.</w:t>
      </w:r>
      <w:r>
        <w:rPr>
          <w:rStyle w:val="FootnoteReference"/>
          <w:rFonts w:ascii="Book Antiqua" w:hAnsi="Book Antiqua"/>
          <w:sz w:val="20"/>
          <w:szCs w:val="20"/>
        </w:rPr>
        <w:footnoteReference w:id="179"/>
      </w:r>
    </w:p>
    <w:p w:rsidR="00150BB0" w:rsidRDefault="009337A9" w:rsidP="000867BE">
      <w:pPr>
        <w:tabs>
          <w:tab w:val="left" w:pos="0"/>
        </w:tabs>
        <w:spacing w:after="120"/>
        <w:rPr>
          <w:rFonts w:ascii="Book Antiqua" w:hAnsi="Book Antiqua"/>
        </w:rPr>
      </w:pPr>
      <w:r>
        <w:rPr>
          <w:rFonts w:ascii="Book Antiqua" w:hAnsi="Book Antiqua"/>
        </w:rPr>
        <w:t>He adds his judgment that theologians in the Barthian mode “were risking</w:t>
      </w:r>
      <w:r w:rsidR="00C47172">
        <w:rPr>
          <w:rFonts w:ascii="Book Antiqua" w:hAnsi="Book Antiqua"/>
        </w:rPr>
        <w:t xml:space="preserve"> the error of removing from the Christian consciousness the reality of creation itself.”</w:t>
      </w:r>
      <w:r w:rsidR="00C47172">
        <w:rPr>
          <w:rStyle w:val="FootnoteReference"/>
          <w:rFonts w:ascii="Book Antiqua" w:hAnsi="Book Antiqua"/>
        </w:rPr>
        <w:footnoteReference w:id="180"/>
      </w:r>
      <w:r w:rsidR="00A7382B">
        <w:rPr>
          <w:rFonts w:ascii="Book Antiqua" w:hAnsi="Book Antiqua"/>
        </w:rPr>
        <w:t xml:space="preserve">   This is the danger of the Augustinian tradition, Protestant and Catholic:</w:t>
      </w:r>
    </w:p>
    <w:p w:rsidR="00A7382B" w:rsidRPr="00A7382B" w:rsidRDefault="00A7382B" w:rsidP="00A7382B">
      <w:pPr>
        <w:tabs>
          <w:tab w:val="left" w:pos="720"/>
        </w:tabs>
        <w:spacing w:after="120"/>
        <w:ind w:left="720" w:right="720"/>
        <w:rPr>
          <w:rFonts w:ascii="Book Antiqua" w:hAnsi="Book Antiqua"/>
          <w:sz w:val="20"/>
          <w:szCs w:val="20"/>
        </w:rPr>
      </w:pPr>
      <w:r>
        <w:rPr>
          <w:rFonts w:ascii="Book Antiqua" w:hAnsi="Book Antiqua"/>
          <w:sz w:val="20"/>
          <w:szCs w:val="20"/>
        </w:rPr>
        <w:t>. . . one may well say of St. Augustine, without violating the reverence due to this</w:t>
      </w:r>
      <w:r w:rsidR="00031ECA">
        <w:rPr>
          <w:rFonts w:ascii="Book Antiqua" w:hAnsi="Book Antiqua"/>
          <w:sz w:val="20"/>
          <w:szCs w:val="20"/>
        </w:rPr>
        <w:t xml:space="preserve"> great saint and great thinker</w:t>
      </w:r>
      <w:r>
        <w:rPr>
          <w:rFonts w:ascii="Book Antiqua" w:hAnsi="Book Antiqua"/>
          <w:sz w:val="20"/>
          <w:szCs w:val="20"/>
        </w:rPr>
        <w:t xml:space="preserve">, that, as the history of Christian teaching shows, </w:t>
      </w:r>
      <w:r w:rsidR="00694491">
        <w:rPr>
          <w:rFonts w:ascii="Book Antiqua" w:hAnsi="Book Antiqua"/>
          <w:sz w:val="20"/>
          <w:szCs w:val="20"/>
        </w:rPr>
        <w:t xml:space="preserve"> his work falls more easily into the danger of being construed, or, rather, </w:t>
      </w:r>
      <w:r w:rsidR="00694491" w:rsidRPr="00694491">
        <w:rPr>
          <w:rFonts w:ascii="Book Antiqua" w:hAnsi="Book Antiqua"/>
          <w:i/>
          <w:sz w:val="20"/>
          <w:szCs w:val="20"/>
        </w:rPr>
        <w:t>mis</w:t>
      </w:r>
      <w:r w:rsidR="00694491">
        <w:rPr>
          <w:rFonts w:ascii="Book Antiqua" w:hAnsi="Book Antiqua"/>
          <w:sz w:val="20"/>
          <w:szCs w:val="20"/>
        </w:rPr>
        <w:t>construed in the sense of a de-actualization and devaluation of the visible reality of creation.</w:t>
      </w:r>
      <w:r w:rsidR="00694491">
        <w:rPr>
          <w:rStyle w:val="FootnoteReference"/>
          <w:rFonts w:ascii="Book Antiqua" w:hAnsi="Book Antiqua"/>
          <w:sz w:val="20"/>
          <w:szCs w:val="20"/>
        </w:rPr>
        <w:footnoteReference w:id="181"/>
      </w:r>
    </w:p>
    <w:p w:rsidR="00037596" w:rsidRDefault="00694491" w:rsidP="004F645C">
      <w:pPr>
        <w:tabs>
          <w:tab w:val="left" w:pos="0"/>
        </w:tabs>
        <w:spacing w:after="120"/>
        <w:rPr>
          <w:rFonts w:ascii="Book Antiqua" w:hAnsi="Book Antiqua"/>
        </w:rPr>
      </w:pPr>
      <w:r>
        <w:rPr>
          <w:rFonts w:ascii="Book Antiqua" w:hAnsi="Book Antiqua"/>
        </w:rPr>
        <w:t>My profound concern here is that precisely this danger has again entered ‘the history of Christian teaching’ in our day,</w:t>
      </w:r>
      <w:r w:rsidRPr="00694491">
        <w:rPr>
          <w:rFonts w:ascii="Book Antiqua" w:hAnsi="Book Antiqua"/>
        </w:rPr>
        <w:t xml:space="preserve"> </w:t>
      </w:r>
      <w:r>
        <w:rPr>
          <w:rFonts w:ascii="Book Antiqua" w:hAnsi="Book Antiqua"/>
        </w:rPr>
        <w:t>which is why I have clumsily grappled with it at such length.  There is much more at stake here than whether to amend or not amend the Constitution of our polity</w:t>
      </w:r>
      <w:r w:rsidR="00017441">
        <w:rPr>
          <w:rFonts w:ascii="Book Antiqua" w:hAnsi="Book Antiqua"/>
        </w:rPr>
        <w:t xml:space="preserve">, much more at issue than whether you or I judge certain sexual acts to be peculiar or not particularly peculiar.  My concern is with </w:t>
      </w:r>
      <w:r w:rsidR="00017441" w:rsidRPr="00017441">
        <w:rPr>
          <w:rFonts w:ascii="Book Antiqua" w:hAnsi="Book Antiqua"/>
          <w:i/>
        </w:rPr>
        <w:t>how</w:t>
      </w:r>
      <w:r w:rsidR="00017441">
        <w:rPr>
          <w:rFonts w:ascii="Book Antiqua" w:hAnsi="Book Antiqua"/>
        </w:rPr>
        <w:t xml:space="preserve"> we think about these things, because that is how</w:t>
      </w:r>
      <w:r w:rsidR="00956900">
        <w:rPr>
          <w:rFonts w:ascii="Book Antiqua" w:hAnsi="Book Antiqua"/>
        </w:rPr>
        <w:t xml:space="preserve"> we will think about everything</w:t>
      </w:r>
      <w:r w:rsidR="006514BD">
        <w:rPr>
          <w:rFonts w:ascii="Book Antiqua" w:hAnsi="Book Antiqua"/>
        </w:rPr>
        <w:t xml:space="preserve"> -- </w:t>
      </w:r>
      <w:r w:rsidR="00017441">
        <w:rPr>
          <w:rFonts w:ascii="Book Antiqua" w:hAnsi="Book Antiqua"/>
        </w:rPr>
        <w:t>about ourselves</w:t>
      </w:r>
      <w:r w:rsidR="006D7765">
        <w:rPr>
          <w:rFonts w:ascii="Book Antiqua" w:hAnsi="Book Antiqua"/>
        </w:rPr>
        <w:t>, about ‘others</w:t>
      </w:r>
      <w:r w:rsidR="00017441">
        <w:rPr>
          <w:rFonts w:ascii="Book Antiqua" w:hAnsi="Book Antiqua"/>
        </w:rPr>
        <w:t>,</w:t>
      </w:r>
      <w:r w:rsidR="006D7765">
        <w:rPr>
          <w:rFonts w:ascii="Book Antiqua" w:hAnsi="Book Antiqua"/>
        </w:rPr>
        <w:t>’</w:t>
      </w:r>
      <w:r w:rsidR="00017441">
        <w:rPr>
          <w:rFonts w:ascii="Book Antiqua" w:hAnsi="Book Antiqua"/>
        </w:rPr>
        <w:t xml:space="preserve"> and about God.</w:t>
      </w:r>
    </w:p>
    <w:p w:rsidR="00017441" w:rsidRDefault="00017441" w:rsidP="004F645C">
      <w:pPr>
        <w:tabs>
          <w:tab w:val="left" w:pos="0"/>
        </w:tabs>
        <w:spacing w:after="120"/>
        <w:rPr>
          <w:rFonts w:ascii="Book Antiqua" w:hAnsi="Book Antiqua"/>
        </w:rPr>
      </w:pPr>
      <w:r>
        <w:rPr>
          <w:rFonts w:ascii="Book Antiqua" w:hAnsi="Book Antiqua"/>
        </w:rPr>
        <w:tab/>
        <w:t xml:space="preserve">Concerning the latter, the title of Pieper’s little book, </w:t>
      </w:r>
      <w:r w:rsidRPr="00017441">
        <w:rPr>
          <w:rFonts w:ascii="Book Antiqua" w:hAnsi="Book Antiqua"/>
          <w:i/>
        </w:rPr>
        <w:t>The Silence of St. Thomas</w:t>
      </w:r>
      <w:r>
        <w:rPr>
          <w:rFonts w:ascii="Book Antiqua" w:hAnsi="Book Antiqua"/>
        </w:rPr>
        <w:t xml:space="preserve">, takes its cue from the </w:t>
      </w:r>
      <w:r w:rsidRPr="00017441">
        <w:rPr>
          <w:rFonts w:ascii="Book Antiqua" w:hAnsi="Book Antiqua"/>
          <w:i/>
        </w:rPr>
        <w:t>via negativa</w:t>
      </w:r>
      <w:r>
        <w:rPr>
          <w:rFonts w:ascii="Book Antiqua" w:hAnsi="Book Antiqua"/>
        </w:rPr>
        <w:t>, of such fundamental importance in Aquinas.  Relevant texts could multiply like heterosexual bunny rabbits, but two will suffice here:</w:t>
      </w:r>
    </w:p>
    <w:p w:rsidR="00017441" w:rsidRDefault="00CA44E7" w:rsidP="00CA44E7">
      <w:pPr>
        <w:tabs>
          <w:tab w:val="left" w:pos="720"/>
        </w:tabs>
        <w:spacing w:after="120"/>
        <w:ind w:left="720" w:right="720"/>
        <w:rPr>
          <w:rFonts w:ascii="Book Antiqua" w:hAnsi="Book Antiqua"/>
          <w:sz w:val="20"/>
          <w:szCs w:val="20"/>
        </w:rPr>
      </w:pPr>
      <w:r>
        <w:rPr>
          <w:rFonts w:ascii="Book Antiqua" w:hAnsi="Book Antiqua"/>
          <w:sz w:val="20"/>
          <w:szCs w:val="20"/>
        </w:rPr>
        <w:t>Because we are not capable of knowing what God is, but only what He is not, we cannot contemplate how God is but only how He is not.</w:t>
      </w:r>
      <w:r>
        <w:rPr>
          <w:rStyle w:val="FootnoteReference"/>
          <w:rFonts w:ascii="Book Antiqua" w:hAnsi="Book Antiqua"/>
          <w:sz w:val="20"/>
          <w:szCs w:val="20"/>
        </w:rPr>
        <w:footnoteReference w:id="182"/>
      </w:r>
    </w:p>
    <w:p w:rsidR="00CA44E7" w:rsidRPr="00CA44E7" w:rsidRDefault="00CA44E7" w:rsidP="00CA44E7">
      <w:pPr>
        <w:tabs>
          <w:tab w:val="left" w:pos="720"/>
        </w:tabs>
        <w:spacing w:after="120"/>
        <w:ind w:left="720" w:right="720"/>
        <w:rPr>
          <w:rFonts w:ascii="Book Antiqua" w:hAnsi="Book Antiqua"/>
          <w:sz w:val="20"/>
          <w:szCs w:val="20"/>
        </w:rPr>
      </w:pPr>
      <w:r>
        <w:rPr>
          <w:rFonts w:ascii="Book Antiqua" w:hAnsi="Book Antiqua"/>
          <w:sz w:val="20"/>
          <w:szCs w:val="20"/>
        </w:rPr>
        <w:t>This is the ultimate in human knowledge of God:  to know that we do not know Him.</w:t>
      </w:r>
      <w:r>
        <w:rPr>
          <w:rStyle w:val="FootnoteReference"/>
          <w:rFonts w:ascii="Book Antiqua" w:hAnsi="Book Antiqua"/>
          <w:sz w:val="20"/>
          <w:szCs w:val="20"/>
        </w:rPr>
        <w:footnoteReference w:id="183"/>
      </w:r>
    </w:p>
    <w:p w:rsidR="00037596" w:rsidRDefault="006D2A65" w:rsidP="004F645C">
      <w:pPr>
        <w:tabs>
          <w:tab w:val="left" w:pos="0"/>
        </w:tabs>
        <w:spacing w:after="120"/>
        <w:rPr>
          <w:rFonts w:ascii="Book Antiqua" w:hAnsi="Book Antiqua"/>
        </w:rPr>
      </w:pPr>
      <w:r>
        <w:rPr>
          <w:rFonts w:ascii="Book Antiqua" w:hAnsi="Book Antiqua"/>
        </w:rPr>
        <w:t>Karl Rahner points out numerous Scriptural texts on which Thomas commented with similar insistence,</w:t>
      </w:r>
      <w:r>
        <w:rPr>
          <w:rStyle w:val="FootnoteReference"/>
          <w:rFonts w:ascii="Book Antiqua" w:hAnsi="Book Antiqua"/>
        </w:rPr>
        <w:footnoteReference w:id="184"/>
      </w:r>
      <w:r>
        <w:rPr>
          <w:rFonts w:ascii="Book Antiqua" w:hAnsi="Book Antiqua"/>
        </w:rPr>
        <w:t xml:space="preserve"> elaborating the Thomist insistence that God remains absolutely incomprehensible to human beings even in the beatific vision – even there, the light of glory is finite -- that this is an inescapable dimension of the Creator-creature relation.</w:t>
      </w:r>
      <w:r w:rsidR="00C50D0D">
        <w:rPr>
          <w:rStyle w:val="FootnoteReference"/>
          <w:rFonts w:ascii="Book Antiqua" w:hAnsi="Book Antiqua"/>
        </w:rPr>
        <w:footnoteReference w:id="185"/>
      </w:r>
    </w:p>
    <w:p w:rsidR="00A732F2" w:rsidRDefault="00D27C03" w:rsidP="004F645C">
      <w:pPr>
        <w:tabs>
          <w:tab w:val="left" w:pos="0"/>
        </w:tabs>
        <w:spacing w:after="120"/>
        <w:rPr>
          <w:rFonts w:ascii="Book Antiqua" w:hAnsi="Book Antiqua"/>
        </w:rPr>
      </w:pPr>
      <w:r>
        <w:rPr>
          <w:rFonts w:ascii="Book Antiqua" w:hAnsi="Book Antiqua"/>
        </w:rPr>
        <w:lastRenderedPageBreak/>
        <w:tab/>
        <w:t>But if the only way that we can know anything of value about what it means to be human is in the light of what we know about God</w:t>
      </w:r>
      <w:r w:rsidR="002146D6">
        <w:rPr>
          <w:rFonts w:ascii="Book Antiqua" w:hAnsi="Book Antiqua"/>
        </w:rPr>
        <w:t xml:space="preserve"> – as Cardinal Scola has insisted –</w:t>
      </w:r>
      <w:r>
        <w:rPr>
          <w:rFonts w:ascii="Book Antiqua" w:hAnsi="Book Antiqua"/>
        </w:rPr>
        <w:t xml:space="preserve"> then we had damn well better know a lot about God!  Which, of course, he thinks he does, as do so many of his theologi</w:t>
      </w:r>
      <w:r w:rsidR="000B54D8">
        <w:rPr>
          <w:rFonts w:ascii="Book Antiqua" w:hAnsi="Book Antiqua"/>
        </w:rPr>
        <w:t>cal confrè</w:t>
      </w:r>
      <w:r>
        <w:rPr>
          <w:rFonts w:ascii="Book Antiqua" w:hAnsi="Book Antiqua"/>
        </w:rPr>
        <w:t>res</w:t>
      </w:r>
      <w:r w:rsidR="00A65911">
        <w:rPr>
          <w:rFonts w:ascii="Book Antiqua" w:hAnsi="Book Antiqua"/>
        </w:rPr>
        <w:t xml:space="preserve">.  And from what they ‘know’ about God, they tell us, with necessary and universal clarity, what we need to ‘know’ about ourselves.  But if their ‘knowledge’ of God is suspect, then so, too, is the knowledge of ‘us’ that they would impart.  </w:t>
      </w:r>
    </w:p>
    <w:p w:rsidR="00D27C03" w:rsidRDefault="00A732F2" w:rsidP="004F645C">
      <w:pPr>
        <w:tabs>
          <w:tab w:val="left" w:pos="0"/>
        </w:tabs>
        <w:spacing w:after="120"/>
        <w:rPr>
          <w:rFonts w:ascii="Book Antiqua" w:hAnsi="Book Antiqua"/>
        </w:rPr>
      </w:pPr>
      <w:r>
        <w:rPr>
          <w:rFonts w:ascii="Book Antiqua" w:hAnsi="Book Antiqua"/>
        </w:rPr>
        <w:tab/>
      </w:r>
      <w:r w:rsidR="00A65911">
        <w:rPr>
          <w:rFonts w:ascii="Book Antiqua" w:hAnsi="Book Antiqua"/>
        </w:rPr>
        <w:t>Nuptial theology, it seems to me, stan</w:t>
      </w:r>
      <w:r w:rsidR="008815B4">
        <w:rPr>
          <w:rFonts w:ascii="Book Antiqua" w:hAnsi="Book Antiqua"/>
        </w:rPr>
        <w:t>ds in desperate need of intense</w:t>
      </w:r>
      <w:r w:rsidR="003023B0">
        <w:rPr>
          <w:rFonts w:ascii="Book Antiqua" w:hAnsi="Book Antiqua"/>
        </w:rPr>
        <w:t xml:space="preserve"> </w:t>
      </w:r>
      <w:proofErr w:type="spellStart"/>
      <w:r w:rsidR="003023B0">
        <w:rPr>
          <w:rFonts w:ascii="Book Antiqua" w:hAnsi="Book Antiqua"/>
        </w:rPr>
        <w:t>apo</w:t>
      </w:r>
      <w:r w:rsidR="00A65911">
        <w:rPr>
          <w:rFonts w:ascii="Book Antiqua" w:hAnsi="Book Antiqua"/>
        </w:rPr>
        <w:t>phatic</w:t>
      </w:r>
      <w:proofErr w:type="spellEnd"/>
      <w:r w:rsidR="00A65911">
        <w:rPr>
          <w:rFonts w:ascii="Book Antiqua" w:hAnsi="Book Antiqua"/>
        </w:rPr>
        <w:t xml:space="preserve"> critique.</w:t>
      </w:r>
      <w:r>
        <w:rPr>
          <w:rFonts w:ascii="Book Antiqua" w:hAnsi="Book Antiqua"/>
        </w:rPr>
        <w:t xml:space="preserve">  As do we all.</w:t>
      </w:r>
    </w:p>
    <w:p w:rsidR="00A732F2" w:rsidRDefault="00A732F2" w:rsidP="004F645C">
      <w:pPr>
        <w:tabs>
          <w:tab w:val="left" w:pos="0"/>
        </w:tabs>
        <w:spacing w:after="120"/>
        <w:rPr>
          <w:rFonts w:ascii="Book Antiqua" w:hAnsi="Book Antiqua"/>
        </w:rPr>
      </w:pPr>
      <w:r>
        <w:rPr>
          <w:rFonts w:ascii="Book Antiqua" w:hAnsi="Book Antiqua"/>
        </w:rPr>
        <w:tab/>
        <w:t xml:space="preserve">I return often to Fr. Berrigan’s </w:t>
      </w:r>
      <w:r w:rsidRPr="00A732F2">
        <w:rPr>
          <w:rFonts w:ascii="Book Antiqua" w:hAnsi="Book Antiqua"/>
          <w:i/>
        </w:rPr>
        <w:t>The Dark Night of Resistance</w:t>
      </w:r>
      <w:r>
        <w:rPr>
          <w:rFonts w:ascii="Book Antiqua" w:hAnsi="Book Antiqua"/>
        </w:rPr>
        <w:t>,</w:t>
      </w:r>
      <w:r>
        <w:rPr>
          <w:rStyle w:val="FootnoteReference"/>
          <w:rFonts w:ascii="Book Antiqua" w:hAnsi="Book Antiqua"/>
        </w:rPr>
        <w:footnoteReference w:id="186"/>
      </w:r>
      <w:r>
        <w:rPr>
          <w:rFonts w:ascii="Book Antiqua" w:hAnsi="Book Antiqua"/>
        </w:rPr>
        <w:t xml:space="preserve"> his underground reflections on John of the Cross, in order to be reminded how central to our faith is experience of that utter blackness in which entire cultural, conceptual universes dissolve</w:t>
      </w:r>
      <w:r w:rsidR="0007121B">
        <w:rPr>
          <w:rFonts w:ascii="Book Antiqua" w:hAnsi="Book Antiqua"/>
        </w:rPr>
        <w:t xml:space="preserve">.  And that darkness dissolves ecclesiastical universes of discourse, as much as any other – if not more.  We grow so confident in our ‘knowledge’ of ‘what God is.’  Preachers preach their ‘knowledge’ with such eloquence.  Pieper wryly remarks </w:t>
      </w:r>
      <w:r w:rsidR="003D2447">
        <w:rPr>
          <w:rFonts w:ascii="Book Antiqua" w:hAnsi="Book Antiqua"/>
        </w:rPr>
        <w:t>upon how seldom</w:t>
      </w:r>
      <w:r w:rsidR="0007121B">
        <w:rPr>
          <w:rFonts w:ascii="Book Antiqua" w:hAnsi="Book Antiqua"/>
        </w:rPr>
        <w:t xml:space="preserve"> in the </w:t>
      </w:r>
      <w:r w:rsidR="003D2447">
        <w:rPr>
          <w:rFonts w:ascii="Book Antiqua" w:hAnsi="Book Antiqua"/>
        </w:rPr>
        <w:t>course of his long life he had ever heard the incompre</w:t>
      </w:r>
      <w:r w:rsidR="0007121B">
        <w:rPr>
          <w:rFonts w:ascii="Book Antiqua" w:hAnsi="Book Antiqua"/>
        </w:rPr>
        <w:t>hensibility of God proclaimed from the pulpit.</w:t>
      </w:r>
      <w:r w:rsidR="0007121B">
        <w:rPr>
          <w:rStyle w:val="FootnoteReference"/>
          <w:rFonts w:ascii="Book Antiqua" w:hAnsi="Book Antiqua"/>
        </w:rPr>
        <w:footnoteReference w:id="187"/>
      </w:r>
      <w:r w:rsidR="0007121B">
        <w:rPr>
          <w:rFonts w:ascii="Book Antiqua" w:hAnsi="Book Antiqua"/>
        </w:rPr>
        <w:t xml:space="preserve">  St. Thomas began there</w:t>
      </w:r>
      <w:r w:rsidR="00BD587C">
        <w:rPr>
          <w:rFonts w:ascii="Book Antiqua" w:hAnsi="Book Antiqua"/>
        </w:rPr>
        <w:t>, ended there, and threaded there beginning-to-end.</w:t>
      </w:r>
      <w:r w:rsidR="004708AA">
        <w:rPr>
          <w:rFonts w:ascii="Book Antiqua" w:hAnsi="Book Antiqua"/>
        </w:rPr>
        <w:t xml:space="preserve">  I suspect he had less need of dark nights, because he lived and thought in the darkness, had no fear of it.</w:t>
      </w:r>
      <w:r w:rsidR="00B9302C">
        <w:rPr>
          <w:rFonts w:ascii="Book Antiqua" w:hAnsi="Book Antiqua"/>
        </w:rPr>
        <w:t xml:space="preserve">  He didn’t need to know ‘what God is’ in order to gain understanding of who we are, needing only to know, rather, that we ‘are’ only because God ‘is,’ and because of that very fact we can come to know something of ourselves, our world, our life in that world, and our hope beyond it.</w:t>
      </w:r>
    </w:p>
    <w:p w:rsidR="008F49C5" w:rsidRDefault="008F49C5" w:rsidP="004F645C">
      <w:pPr>
        <w:tabs>
          <w:tab w:val="left" w:pos="0"/>
        </w:tabs>
        <w:spacing w:after="120"/>
        <w:rPr>
          <w:rFonts w:ascii="Book Antiqua" w:hAnsi="Book Antiqua"/>
        </w:rPr>
      </w:pPr>
      <w:r>
        <w:rPr>
          <w:rFonts w:ascii="Book Antiqua" w:hAnsi="Book Antiqua"/>
        </w:rPr>
        <w:tab/>
        <w:t>Most of us fear that darkn</w:t>
      </w:r>
      <w:r w:rsidR="009C401C">
        <w:rPr>
          <w:rFonts w:ascii="Book Antiqua" w:hAnsi="Book Antiqua"/>
        </w:rPr>
        <w:t>ess like the plague, and so we f</w:t>
      </w:r>
      <w:r>
        <w:rPr>
          <w:rFonts w:ascii="Book Antiqua" w:hAnsi="Book Antiqua"/>
        </w:rPr>
        <w:t>ill our heads with certaint</w:t>
      </w:r>
      <w:r w:rsidR="002146D6">
        <w:rPr>
          <w:rFonts w:ascii="Book Antiqua" w:hAnsi="Book Antiqua"/>
        </w:rPr>
        <w:t>ies and bask in their cheap</w:t>
      </w:r>
      <w:r>
        <w:rPr>
          <w:rFonts w:ascii="Book Antiqua" w:hAnsi="Book Antiqua"/>
        </w:rPr>
        <w:t xml:space="preserve"> light.  We render judgments of others who are ‘other’ – perhaps their ‘animal sexuality’ with Cardinal Scola, or their ‘bestiality’ with your surrogates.</w:t>
      </w:r>
      <w:r w:rsidR="009C401C">
        <w:rPr>
          <w:rFonts w:ascii="Book Antiqua" w:hAnsi="Book Antiqua"/>
        </w:rPr>
        <w:t xml:space="preserve">  What ‘they’ have isn’t </w:t>
      </w:r>
      <w:r w:rsidR="005C62E9">
        <w:rPr>
          <w:rFonts w:ascii="Book Antiqua" w:hAnsi="Book Antiqua"/>
        </w:rPr>
        <w:t>‘</w:t>
      </w:r>
      <w:r w:rsidR="009C401C">
        <w:rPr>
          <w:rFonts w:ascii="Book Antiqua" w:hAnsi="Book Antiqua"/>
        </w:rPr>
        <w:t>love,</w:t>
      </w:r>
      <w:r w:rsidR="005C62E9">
        <w:rPr>
          <w:rFonts w:ascii="Book Antiqua" w:hAnsi="Book Antiqua"/>
        </w:rPr>
        <w:t>’</w:t>
      </w:r>
      <w:r w:rsidR="009C401C">
        <w:rPr>
          <w:rFonts w:ascii="Book Antiqua" w:hAnsi="Book Antiqua"/>
        </w:rPr>
        <w:t xml:space="preserve"> it can’t be, because we ‘know’ what God is, and God isn’t ‘that.’  But then those very certainties, with which we would ward off the plague of darkness, become themse</w:t>
      </w:r>
      <w:r w:rsidR="00AF2EDD">
        <w:rPr>
          <w:rFonts w:ascii="Book Antiqua" w:hAnsi="Book Antiqua"/>
        </w:rPr>
        <w:t xml:space="preserve">lves a plague which deals death </w:t>
      </w:r>
      <w:r w:rsidR="005A65C9">
        <w:rPr>
          <w:rFonts w:ascii="Book Antiqua" w:hAnsi="Book Antiqua"/>
        </w:rPr>
        <w:t>– perhaps even ‘the second death</w:t>
      </w:r>
      <w:r w:rsidR="005B2794">
        <w:rPr>
          <w:rFonts w:ascii="Book Antiqua" w:hAnsi="Book Antiqua"/>
        </w:rPr>
        <w:t xml:space="preserve">’ -- </w:t>
      </w:r>
      <w:r w:rsidR="00AF2EDD">
        <w:rPr>
          <w:rFonts w:ascii="Book Antiqua" w:hAnsi="Book Antiqua"/>
        </w:rPr>
        <w:t xml:space="preserve">all around.  Camus’s narrator understatedly observes of the townspeople of Oran </w:t>
      </w:r>
      <w:r w:rsidR="005B2794">
        <w:rPr>
          <w:rFonts w:ascii="Book Antiqua" w:hAnsi="Book Antiqua"/>
        </w:rPr>
        <w:t xml:space="preserve">that </w:t>
      </w:r>
      <w:r w:rsidR="00AF2EDD">
        <w:rPr>
          <w:rFonts w:ascii="Book Antiqua" w:hAnsi="Book Antiqua"/>
        </w:rPr>
        <w:t>before the plague descended, “they forgot to be modest, that was all.”</w:t>
      </w:r>
      <w:r w:rsidR="00DC53F4">
        <w:rPr>
          <w:rStyle w:val="FootnoteReference"/>
          <w:rFonts w:ascii="Book Antiqua" w:hAnsi="Book Antiqua"/>
        </w:rPr>
        <w:footnoteReference w:id="188"/>
      </w:r>
      <w:r w:rsidR="00DC53F4">
        <w:rPr>
          <w:rFonts w:ascii="Book Antiqua" w:hAnsi="Book Antiqua"/>
        </w:rPr>
        <w:t xml:space="preserve">  Among the least modest was Father Paneloux, a character that has haunted me for forty years.  Shortly after the outbreak of the pestilence, he delivered an explanatory sermon, whose clarity far exceeded its charity.</w:t>
      </w:r>
      <w:r w:rsidR="005A65C9">
        <w:rPr>
          <w:rFonts w:ascii="Book Antiqua" w:hAnsi="Book Antiqua"/>
        </w:rPr>
        <w:t xml:space="preserve">  By the end of the novel, though, I find him to be its most transformed character.  He joined Dr. Rieux’s team visiting the infected, puncturing pustules and draining pus.  He, who had preached at</w:t>
      </w:r>
      <w:r w:rsidR="005B2794">
        <w:rPr>
          <w:rFonts w:ascii="Book Antiqua" w:hAnsi="Book Antiqua"/>
        </w:rPr>
        <w:t xml:space="preserve"> length, came to speak little, to listen much</w:t>
      </w:r>
      <w:r w:rsidR="005A65C9">
        <w:rPr>
          <w:rFonts w:ascii="Book Antiqua" w:hAnsi="Book Antiqua"/>
        </w:rPr>
        <w:t>.  As clarity vanished in the darkness, charity shone from it.  At novel’s end, there was only, in Berrigan’s rendering of 1 Cor 13.13, “love, love at the end.”</w:t>
      </w:r>
      <w:r w:rsidR="005A65C9">
        <w:rPr>
          <w:rStyle w:val="FootnoteReference"/>
          <w:rFonts w:ascii="Book Antiqua" w:hAnsi="Book Antiqua"/>
        </w:rPr>
        <w:footnoteReference w:id="189"/>
      </w:r>
      <w:r w:rsidR="000E7999">
        <w:rPr>
          <w:rFonts w:ascii="Book Antiqua" w:hAnsi="Book Antiqua"/>
        </w:rPr>
        <w:t xml:space="preserve">  And as modesty returned, the plague withdrew, </w:t>
      </w:r>
      <w:r w:rsidR="00B931F3">
        <w:rPr>
          <w:rFonts w:ascii="Book Antiqua" w:hAnsi="Book Antiqua"/>
        </w:rPr>
        <w:t xml:space="preserve">but only </w:t>
      </w:r>
      <w:r w:rsidR="000E7999">
        <w:rPr>
          <w:rFonts w:ascii="Book Antiqua" w:hAnsi="Book Antiqua"/>
        </w:rPr>
        <w:t xml:space="preserve">biding its time, </w:t>
      </w:r>
      <w:r w:rsidR="00B931F3">
        <w:rPr>
          <w:rFonts w:ascii="Book Antiqua" w:hAnsi="Book Antiqua"/>
        </w:rPr>
        <w:t xml:space="preserve">surely to return once again to rouse up </w:t>
      </w:r>
      <w:r w:rsidR="00B931F3">
        <w:rPr>
          <w:rFonts w:ascii="Book Antiqua" w:hAnsi="Book Antiqua"/>
        </w:rPr>
        <w:lastRenderedPageBreak/>
        <w:t>its rats</w:t>
      </w:r>
      <w:r w:rsidR="002C35CD">
        <w:rPr>
          <w:rFonts w:ascii="Book Antiqua" w:hAnsi="Book Antiqua"/>
        </w:rPr>
        <w:t xml:space="preserve"> to infest another immodest </w:t>
      </w:r>
      <w:r w:rsidR="000B2186">
        <w:rPr>
          <w:rFonts w:ascii="Book Antiqua" w:hAnsi="Book Antiqua"/>
        </w:rPr>
        <w:t>city</w:t>
      </w:r>
      <w:r w:rsidR="00E729D3">
        <w:rPr>
          <w:rFonts w:ascii="Book Antiqua" w:hAnsi="Book Antiqua"/>
        </w:rPr>
        <w:t xml:space="preserve">, to cut its townspeople down to size, </w:t>
      </w:r>
      <w:r w:rsidR="00B94C48">
        <w:rPr>
          <w:rFonts w:ascii="Book Antiqua" w:hAnsi="Book Antiqua"/>
        </w:rPr>
        <w:t>“left with a few paltry, precious possessions of the mind and heart.”</w:t>
      </w:r>
      <w:r w:rsidR="00B94C48">
        <w:rPr>
          <w:rStyle w:val="FootnoteReference"/>
          <w:rFonts w:ascii="Book Antiqua" w:hAnsi="Book Antiqua"/>
        </w:rPr>
        <w:footnoteReference w:id="190"/>
      </w:r>
    </w:p>
    <w:p w:rsidR="0080256C" w:rsidRDefault="00DA3B40" w:rsidP="004F645C">
      <w:pPr>
        <w:tabs>
          <w:tab w:val="left" w:pos="0"/>
        </w:tabs>
        <w:spacing w:after="120"/>
        <w:rPr>
          <w:rFonts w:ascii="Book Antiqua" w:hAnsi="Book Antiqua"/>
        </w:rPr>
      </w:pPr>
      <w:r>
        <w:rPr>
          <w:rFonts w:ascii="Book Antiqua" w:hAnsi="Book Antiqua"/>
        </w:rPr>
        <w:tab/>
        <w:t>When the plague struck with its most ferocious terror in the middle of the last century, ju</w:t>
      </w:r>
      <w:r w:rsidR="00016329">
        <w:rPr>
          <w:rFonts w:ascii="Book Antiqua" w:hAnsi="Book Antiqua"/>
        </w:rPr>
        <w:t xml:space="preserve">st before your birth and mine, </w:t>
      </w:r>
      <w:r w:rsidR="006C5476">
        <w:rPr>
          <w:rFonts w:ascii="Book Antiqua" w:hAnsi="Book Antiqua"/>
        </w:rPr>
        <w:t>the starkness of the stakes beca</w:t>
      </w:r>
      <w:r>
        <w:rPr>
          <w:rFonts w:ascii="Book Antiqua" w:hAnsi="Book Antiqua"/>
        </w:rPr>
        <w:t xml:space="preserve">me most evident.  The central insight that I take from Robert Krieg’s penetrating study </w:t>
      </w:r>
      <w:r w:rsidR="00016329">
        <w:rPr>
          <w:rFonts w:ascii="Book Antiqua" w:hAnsi="Book Antiqua"/>
        </w:rPr>
        <w:t xml:space="preserve">of </w:t>
      </w:r>
      <w:r>
        <w:rPr>
          <w:rFonts w:ascii="Book Antiqua" w:hAnsi="Book Antiqua"/>
        </w:rPr>
        <w:t>Catholic theologians in Nazi Germany</w:t>
      </w:r>
      <w:r>
        <w:rPr>
          <w:rStyle w:val="FootnoteReference"/>
          <w:rFonts w:ascii="Book Antiqua" w:hAnsi="Book Antiqua"/>
        </w:rPr>
        <w:footnoteReference w:id="191"/>
      </w:r>
      <w:r w:rsidR="00016329">
        <w:rPr>
          <w:rFonts w:ascii="Book Antiqua" w:hAnsi="Book Antiqua"/>
        </w:rPr>
        <w:t xml:space="preserve"> is that traditional scholastic theologians tended neither toward resistance nor collaboration, but that those of Augustinian persuasion tended toward one or the other.  </w:t>
      </w:r>
      <w:r w:rsidR="00F83D0A">
        <w:rPr>
          <w:rFonts w:ascii="Book Antiqua" w:hAnsi="Book Antiqua"/>
        </w:rPr>
        <w:t xml:space="preserve">Engelbert Krebs emerges as the very glory of the Lord in the witness of his ‘No!’, Romano Guardini, too, less luminously, but still, given the situation, </w:t>
      </w:r>
      <w:r w:rsidR="00CA5A88">
        <w:rPr>
          <w:rFonts w:ascii="Book Antiqua" w:hAnsi="Book Antiqua"/>
        </w:rPr>
        <w:t>the beauty of the Cross manifest</w:t>
      </w:r>
      <w:r w:rsidR="001F7926">
        <w:rPr>
          <w:rFonts w:ascii="Book Antiqua" w:hAnsi="Book Antiqua"/>
        </w:rPr>
        <w:t xml:space="preserve"> in his very person as well as his thought</w:t>
      </w:r>
      <w:r w:rsidR="00CA5A88">
        <w:rPr>
          <w:rFonts w:ascii="Book Antiqua" w:hAnsi="Book Antiqua"/>
        </w:rPr>
        <w:t>.  But there were, as well, Karl Eschweiler, Joseph Lortz, and, most terrifyingly, Karl Adam, who were swept up in the appeal of the Third Reich’s detestation of</w:t>
      </w:r>
      <w:r w:rsidR="00303BC1">
        <w:rPr>
          <w:rFonts w:ascii="Book Antiqua" w:hAnsi="Book Antiqua"/>
        </w:rPr>
        <w:t xml:space="preserve"> the moral perversities perceived</w:t>
      </w:r>
      <w:r w:rsidR="00CA5A88">
        <w:rPr>
          <w:rFonts w:ascii="Book Antiqua" w:hAnsi="Book Antiqua"/>
        </w:rPr>
        <w:t xml:space="preserve"> in the liberalism of the Weimar Republic.  In them, Heidegger had clerical company in his flirtation with madness.</w:t>
      </w:r>
    </w:p>
    <w:p w:rsidR="00710591" w:rsidRDefault="005E51F9" w:rsidP="004F645C">
      <w:pPr>
        <w:tabs>
          <w:tab w:val="left" w:pos="0"/>
        </w:tabs>
        <w:spacing w:after="120"/>
        <w:rPr>
          <w:rFonts w:ascii="Book Antiqua" w:hAnsi="Book Antiqua"/>
        </w:rPr>
      </w:pPr>
      <w:r>
        <w:rPr>
          <w:rFonts w:ascii="Book Antiqua" w:hAnsi="Book Antiqua"/>
        </w:rPr>
        <w:tab/>
        <w:t>The notion of ‘the evocative’ returns.  Scholastic conceptualism could not evoke the courage needed, but neither did it evoke enthusiasm for evil.  A more evocative theology did one or the other, but could not provide adequate criteria for authentic, faithful, costly choice.  What is it th</w:t>
      </w:r>
      <w:r w:rsidR="00193B3D">
        <w:rPr>
          <w:rFonts w:ascii="Book Antiqua" w:hAnsi="Book Antiqua"/>
        </w:rPr>
        <w:t>at distinguished Krebs from Eschweiler</w:t>
      </w:r>
      <w:r>
        <w:rPr>
          <w:rFonts w:ascii="Book Antiqua" w:hAnsi="Book Antiqua"/>
        </w:rPr>
        <w:t>?  I have no answer, but only a suspicion that the ‘dark night’ might h</w:t>
      </w:r>
      <w:r w:rsidR="00BC4CE1">
        <w:rPr>
          <w:rFonts w:ascii="Book Antiqua" w:hAnsi="Book Antiqua"/>
        </w:rPr>
        <w:t>ave had something to do with it.</w:t>
      </w:r>
      <w:r>
        <w:rPr>
          <w:rFonts w:ascii="Book Antiqua" w:hAnsi="Book Antiqua"/>
        </w:rPr>
        <w:t xml:space="preserve">  I’ve never read Krebs or Eschweiler – indeed, had never heard of them before </w:t>
      </w:r>
      <w:r w:rsidR="00C84D0A">
        <w:rPr>
          <w:rFonts w:ascii="Book Antiqua" w:hAnsi="Book Antiqua"/>
        </w:rPr>
        <w:t xml:space="preserve">reading </w:t>
      </w:r>
      <w:r>
        <w:rPr>
          <w:rFonts w:ascii="Book Antiqua" w:hAnsi="Book Antiqua"/>
        </w:rPr>
        <w:t xml:space="preserve">Krieg’s book </w:t>
      </w:r>
      <w:r w:rsidR="00C84D0A">
        <w:rPr>
          <w:rFonts w:ascii="Book Antiqua" w:hAnsi="Book Antiqua"/>
        </w:rPr>
        <w:t>–</w:t>
      </w:r>
      <w:r>
        <w:rPr>
          <w:rFonts w:ascii="Book Antiqua" w:hAnsi="Book Antiqua"/>
        </w:rPr>
        <w:t xml:space="preserve"> </w:t>
      </w:r>
      <w:r w:rsidR="00C84D0A">
        <w:rPr>
          <w:rFonts w:ascii="Book Antiqua" w:hAnsi="Book Antiqua"/>
        </w:rPr>
        <w:t xml:space="preserve">but have </w:t>
      </w:r>
      <w:r w:rsidR="00710591">
        <w:rPr>
          <w:rFonts w:ascii="Book Antiqua" w:hAnsi="Book Antiqua"/>
        </w:rPr>
        <w:t xml:space="preserve">long </w:t>
      </w:r>
      <w:r w:rsidR="00C84D0A">
        <w:rPr>
          <w:rFonts w:ascii="Book Antiqua" w:hAnsi="Book Antiqua"/>
        </w:rPr>
        <w:t>felt the appeal of both Guardini and Adam</w:t>
      </w:r>
      <w:r w:rsidR="00DF3E53">
        <w:rPr>
          <w:rFonts w:ascii="Book Antiqua" w:hAnsi="Book Antiqua"/>
        </w:rPr>
        <w:t>.</w:t>
      </w:r>
      <w:r w:rsidR="00C84D0A">
        <w:rPr>
          <w:rFonts w:ascii="Book Antiqua" w:hAnsi="Book Antiqua"/>
        </w:rPr>
        <w:t xml:space="preserve">  </w:t>
      </w:r>
      <w:r>
        <w:rPr>
          <w:rFonts w:ascii="Book Antiqua" w:hAnsi="Book Antiqua"/>
        </w:rPr>
        <w:t xml:space="preserve"> </w:t>
      </w:r>
      <w:r w:rsidR="00710591">
        <w:rPr>
          <w:rFonts w:ascii="Book Antiqua" w:hAnsi="Book Antiqua"/>
        </w:rPr>
        <w:t>Before that reading, though, I had never wondered about any ‘difference’ between them.  I now can’t stop wondering, and there seems a certainty, a harshness, in Adam, that I don’t find in Guardini, who seems both more humane and modest, yet more profound precisely because of that humane modesty</w:t>
      </w:r>
      <w:r w:rsidR="008F2BD9">
        <w:rPr>
          <w:rFonts w:ascii="Book Antiqua" w:hAnsi="Book Antiqua"/>
        </w:rPr>
        <w:t>, as if the dark night had dissolved clarity into charity in one, more than the other.</w:t>
      </w:r>
    </w:p>
    <w:p w:rsidR="008F2BD9" w:rsidRDefault="008F2BD9" w:rsidP="004F645C">
      <w:pPr>
        <w:tabs>
          <w:tab w:val="left" w:pos="0"/>
        </w:tabs>
        <w:spacing w:after="120"/>
        <w:rPr>
          <w:rFonts w:ascii="Book Antiqua" w:hAnsi="Book Antiqua"/>
        </w:rPr>
      </w:pPr>
      <w:r>
        <w:rPr>
          <w:rFonts w:ascii="Book Antiqua" w:hAnsi="Book Antiqua"/>
        </w:rPr>
        <w:tab/>
      </w:r>
      <w:r w:rsidR="00DF3E53">
        <w:rPr>
          <w:rFonts w:ascii="Book Antiqua" w:hAnsi="Book Antiqua"/>
        </w:rPr>
        <w:t>No insinuation of incipient Nazism motivates my mention of this.  The only ‘place’ I have any business wondering about such is my own self.  But a difference so stark in Catholic thinkers so seemingly similar</w:t>
      </w:r>
      <w:r w:rsidR="00872FC1">
        <w:rPr>
          <w:rFonts w:ascii="Book Antiqua" w:hAnsi="Book Antiqua"/>
        </w:rPr>
        <w:t xml:space="preserve"> makes me wonder about the foundations of</w:t>
      </w:r>
      <w:r w:rsidR="00D4020A">
        <w:rPr>
          <w:rFonts w:ascii="Book Antiqua" w:hAnsi="Book Antiqua"/>
        </w:rPr>
        <w:t xml:space="preserve"> such difference more generally.</w:t>
      </w:r>
      <w:r w:rsidR="00872FC1">
        <w:rPr>
          <w:rFonts w:ascii="Book Antiqua" w:hAnsi="Book Antiqua"/>
        </w:rPr>
        <w:t xml:space="preserve">  What is it</w:t>
      </w:r>
      <w:r w:rsidR="00F12D40">
        <w:rPr>
          <w:rFonts w:ascii="Book Antiqua" w:hAnsi="Book Antiqua"/>
        </w:rPr>
        <w:t>, for example,</w:t>
      </w:r>
      <w:r w:rsidR="00872FC1">
        <w:rPr>
          <w:rFonts w:ascii="Book Antiqua" w:hAnsi="Book Antiqua"/>
        </w:rPr>
        <w:t xml:space="preserve"> that makes the notion of nuptiality so different in Scola and Berrigan?  Both refer frequently to the spousal imagery of Genesis, Hosea, Ephesians, and Revelation.</w:t>
      </w:r>
      <w:r w:rsidR="00325720">
        <w:rPr>
          <w:rFonts w:ascii="Book Antiqua" w:hAnsi="Book Antiqua"/>
        </w:rPr>
        <w:t xml:space="preserve">  For the Cardinal, this clarifies things, gives certainty to his judgment of certain kinds of human love that image the divine, and other kinds that do not, because they </w:t>
      </w:r>
      <w:r w:rsidR="00325720" w:rsidRPr="00325720">
        <w:rPr>
          <w:rFonts w:ascii="Book Antiqua" w:hAnsi="Book Antiqua"/>
          <w:i/>
        </w:rPr>
        <w:t>can</w:t>
      </w:r>
      <w:r w:rsidR="00325720">
        <w:rPr>
          <w:rFonts w:ascii="Book Antiqua" w:hAnsi="Book Antiqua"/>
        </w:rPr>
        <w:t>not.</w:t>
      </w:r>
      <w:r w:rsidR="00702DCE">
        <w:rPr>
          <w:rFonts w:ascii="Book Antiqua" w:hAnsi="Book Antiqua"/>
        </w:rPr>
        <w:t xml:space="preserve">  For Berrigan, it is not a question of human mirroring the divine.  He takes the imagery more literally, and focuses on the ‘jealousy’ of divine love, with its imperious demand that we surrender</w:t>
      </w:r>
      <w:r w:rsidR="00736FF6">
        <w:rPr>
          <w:rFonts w:ascii="Book Antiqua" w:hAnsi="Book Antiqua"/>
        </w:rPr>
        <w:t xml:space="preserve"> our attachments to all ‘powers and principalities’ that tempt us with the allure of their clarity and certainty</w:t>
      </w:r>
      <w:r w:rsidR="00DB7C6B">
        <w:rPr>
          <w:rFonts w:ascii="Book Antiqua" w:hAnsi="Book Antiqua"/>
        </w:rPr>
        <w:t>, and th</w:t>
      </w:r>
      <w:r w:rsidR="007656F3">
        <w:rPr>
          <w:rFonts w:ascii="Book Antiqua" w:hAnsi="Book Antiqua"/>
        </w:rPr>
        <w:t xml:space="preserve">at we be </w:t>
      </w:r>
      <w:r w:rsidR="00DB7C6B">
        <w:rPr>
          <w:rFonts w:ascii="Book Antiqua" w:hAnsi="Book Antiqua"/>
        </w:rPr>
        <w:t>willing to accept the price of that surrender.</w:t>
      </w:r>
      <w:r w:rsidR="00DC7291">
        <w:rPr>
          <w:rFonts w:ascii="Book Antiqua" w:hAnsi="Book Antiqua"/>
        </w:rPr>
        <w:t xml:space="preserve">  </w:t>
      </w:r>
      <w:r w:rsidR="002F435C">
        <w:rPr>
          <w:rFonts w:ascii="Book Antiqua" w:hAnsi="Book Antiqua"/>
        </w:rPr>
        <w:t>God, as Lover, will strip us naked.</w:t>
      </w:r>
    </w:p>
    <w:p w:rsidR="008752D8" w:rsidRDefault="0046792B" w:rsidP="004F645C">
      <w:pPr>
        <w:tabs>
          <w:tab w:val="left" w:pos="0"/>
        </w:tabs>
        <w:spacing w:after="120"/>
        <w:rPr>
          <w:rFonts w:ascii="Book Antiqua" w:hAnsi="Book Antiqua"/>
        </w:rPr>
      </w:pPr>
      <w:r>
        <w:rPr>
          <w:rFonts w:ascii="Book Antiqua" w:hAnsi="Book Antiqua"/>
        </w:rPr>
        <w:lastRenderedPageBreak/>
        <w:tab/>
        <w:t xml:space="preserve">Between the two there seems a distance that can be measured in degree of darkness that has been embraced.  </w:t>
      </w:r>
      <w:r w:rsidR="007C7CD6">
        <w:rPr>
          <w:rFonts w:ascii="Book Antiqua" w:hAnsi="Book Antiqua"/>
        </w:rPr>
        <w:t xml:space="preserve">Clarity on one side of darkness, charity on the other.  There seems a parallel chasm between yourself and your foremost clerical critic.  </w:t>
      </w:r>
      <w:r w:rsidR="001F5349">
        <w:rPr>
          <w:rFonts w:ascii="Book Antiqua" w:hAnsi="Book Antiqua"/>
        </w:rPr>
        <w:t>Having read</w:t>
      </w:r>
      <w:r w:rsidR="002B3133">
        <w:rPr>
          <w:rFonts w:ascii="Book Antiqua" w:hAnsi="Book Antiqua"/>
        </w:rPr>
        <w:t xml:space="preserve"> your </w:t>
      </w:r>
      <w:r w:rsidR="007465B6">
        <w:rPr>
          <w:rFonts w:ascii="Book Antiqua" w:hAnsi="Book Antiqua"/>
        </w:rPr>
        <w:t xml:space="preserve">cocksure </w:t>
      </w:r>
      <w:r w:rsidR="002B3133">
        <w:rPr>
          <w:rFonts w:ascii="Book Antiqua" w:hAnsi="Book Antiqua"/>
        </w:rPr>
        <w:t>pronouncements on the marriage matter, Fr. Tegeder’s responses, an</w:t>
      </w:r>
      <w:r w:rsidR="001F5349">
        <w:rPr>
          <w:rFonts w:ascii="Book Antiqua" w:hAnsi="Book Antiqua"/>
        </w:rPr>
        <w:t>d your consequent threats, I am led</w:t>
      </w:r>
      <w:r w:rsidR="002B3133">
        <w:rPr>
          <w:rFonts w:ascii="Book Antiqua" w:hAnsi="Book Antiqua"/>
        </w:rPr>
        <w:t xml:space="preserve"> to sing you this anti-lullaby in hope of a dark </w:t>
      </w:r>
      <w:r w:rsidR="003072A0">
        <w:rPr>
          <w:rFonts w:ascii="Book Antiqua" w:hAnsi="Book Antiqua"/>
        </w:rPr>
        <w:t xml:space="preserve">and sleepless </w:t>
      </w:r>
      <w:r w:rsidR="002B3133">
        <w:rPr>
          <w:rFonts w:ascii="Book Antiqua" w:hAnsi="Book Antiqua"/>
        </w:rPr>
        <w:t>night:</w:t>
      </w:r>
    </w:p>
    <w:p w:rsidR="008752D8" w:rsidRDefault="00E41AB2" w:rsidP="00E41AB2">
      <w:pPr>
        <w:tabs>
          <w:tab w:val="left" w:pos="720"/>
        </w:tabs>
        <w:spacing w:after="120"/>
        <w:ind w:left="720" w:right="720"/>
        <w:contextualSpacing/>
        <w:rPr>
          <w:rFonts w:ascii="Book Antiqua" w:hAnsi="Book Antiqua"/>
          <w:sz w:val="20"/>
          <w:szCs w:val="20"/>
        </w:rPr>
      </w:pPr>
      <w:r>
        <w:rPr>
          <w:rFonts w:ascii="Book Antiqua" w:hAnsi="Book Antiqua"/>
          <w:sz w:val="20"/>
          <w:szCs w:val="20"/>
        </w:rPr>
        <w:t>When the whip that’s keeping you in line doesn’t make him jump,</w:t>
      </w:r>
    </w:p>
    <w:p w:rsidR="00E41AB2" w:rsidRDefault="00E41AB2" w:rsidP="00E41AB2">
      <w:pPr>
        <w:tabs>
          <w:tab w:val="left" w:pos="720"/>
        </w:tabs>
        <w:spacing w:after="120"/>
        <w:ind w:left="720" w:right="720"/>
        <w:contextualSpacing/>
        <w:rPr>
          <w:rFonts w:ascii="Book Antiqua" w:hAnsi="Book Antiqua"/>
          <w:sz w:val="20"/>
          <w:szCs w:val="20"/>
        </w:rPr>
      </w:pPr>
      <w:r>
        <w:rPr>
          <w:rFonts w:ascii="Book Antiqua" w:hAnsi="Book Antiqua"/>
          <w:sz w:val="20"/>
          <w:szCs w:val="20"/>
        </w:rPr>
        <w:t>Say he’s hard-of-hearin’, say that he’s a chump.</w:t>
      </w:r>
    </w:p>
    <w:p w:rsidR="00E41AB2" w:rsidRDefault="00E41AB2" w:rsidP="00E41AB2">
      <w:pPr>
        <w:tabs>
          <w:tab w:val="left" w:pos="720"/>
        </w:tabs>
        <w:spacing w:after="120"/>
        <w:ind w:left="720" w:right="720"/>
        <w:contextualSpacing/>
        <w:rPr>
          <w:rFonts w:ascii="Book Antiqua" w:hAnsi="Book Antiqua"/>
          <w:sz w:val="20"/>
          <w:szCs w:val="20"/>
        </w:rPr>
      </w:pPr>
      <w:r>
        <w:rPr>
          <w:rFonts w:ascii="Book Antiqua" w:hAnsi="Book Antiqua"/>
          <w:sz w:val="20"/>
          <w:szCs w:val="20"/>
        </w:rPr>
        <w:t>Say he’s out of step with reality as you try to test his nerve</w:t>
      </w:r>
    </w:p>
    <w:p w:rsidR="00E41AB2" w:rsidRDefault="00E41AB2" w:rsidP="00E41AB2">
      <w:pPr>
        <w:tabs>
          <w:tab w:val="left" w:pos="720"/>
        </w:tabs>
        <w:spacing w:after="120"/>
        <w:ind w:left="720" w:right="720"/>
        <w:rPr>
          <w:rFonts w:ascii="Book Antiqua" w:hAnsi="Book Antiqua"/>
          <w:sz w:val="20"/>
          <w:szCs w:val="20"/>
        </w:rPr>
      </w:pPr>
      <w:r>
        <w:rPr>
          <w:rFonts w:ascii="Book Antiqua" w:hAnsi="Book Antiqua"/>
          <w:sz w:val="20"/>
          <w:szCs w:val="20"/>
        </w:rPr>
        <w:t xml:space="preserve">Because he doesn’t pay </w:t>
      </w:r>
      <w:proofErr w:type="gramStart"/>
      <w:r>
        <w:rPr>
          <w:rFonts w:ascii="Book Antiqua" w:hAnsi="Book Antiqua"/>
          <w:sz w:val="20"/>
          <w:szCs w:val="20"/>
        </w:rPr>
        <w:t>no</w:t>
      </w:r>
      <w:proofErr w:type="gramEnd"/>
      <w:r>
        <w:rPr>
          <w:rFonts w:ascii="Book Antiqua" w:hAnsi="Book Antiqua"/>
          <w:sz w:val="20"/>
          <w:szCs w:val="20"/>
        </w:rPr>
        <w:t xml:space="preserve"> tribute to the king that you serve.</w:t>
      </w:r>
    </w:p>
    <w:p w:rsidR="00E41AB2" w:rsidRDefault="00E41AB2" w:rsidP="00E41AB2">
      <w:pPr>
        <w:tabs>
          <w:tab w:val="left" w:pos="720"/>
        </w:tabs>
        <w:spacing w:after="120"/>
        <w:ind w:left="720" w:right="720"/>
        <w:contextualSpacing/>
        <w:rPr>
          <w:rFonts w:ascii="Book Antiqua" w:hAnsi="Book Antiqua"/>
          <w:sz w:val="20"/>
          <w:szCs w:val="20"/>
        </w:rPr>
      </w:pPr>
      <w:r>
        <w:rPr>
          <w:rFonts w:ascii="Book Antiqua" w:hAnsi="Book Antiqua"/>
          <w:sz w:val="20"/>
          <w:szCs w:val="20"/>
        </w:rPr>
        <w:t>He’s the property of Jesus</w:t>
      </w:r>
    </w:p>
    <w:p w:rsidR="00E41AB2" w:rsidRDefault="00E41AB2" w:rsidP="00E41AB2">
      <w:pPr>
        <w:tabs>
          <w:tab w:val="left" w:pos="720"/>
        </w:tabs>
        <w:spacing w:after="120"/>
        <w:ind w:left="720" w:right="720"/>
        <w:contextualSpacing/>
        <w:rPr>
          <w:rFonts w:ascii="Book Antiqua" w:hAnsi="Book Antiqua"/>
          <w:sz w:val="20"/>
          <w:szCs w:val="20"/>
        </w:rPr>
      </w:pPr>
      <w:r>
        <w:rPr>
          <w:rFonts w:ascii="Book Antiqua" w:hAnsi="Book Antiqua"/>
          <w:sz w:val="20"/>
          <w:szCs w:val="20"/>
        </w:rPr>
        <w:t>Resent him to the bone</w:t>
      </w:r>
      <w:r w:rsidR="008815B4">
        <w:rPr>
          <w:rFonts w:ascii="Book Antiqua" w:hAnsi="Book Antiqua"/>
          <w:sz w:val="20"/>
          <w:szCs w:val="20"/>
        </w:rPr>
        <w:t xml:space="preserve">   </w:t>
      </w:r>
    </w:p>
    <w:p w:rsidR="00E41AB2" w:rsidRDefault="00E41AB2" w:rsidP="00E41AB2">
      <w:pPr>
        <w:tabs>
          <w:tab w:val="left" w:pos="720"/>
        </w:tabs>
        <w:spacing w:after="120"/>
        <w:ind w:left="720" w:right="720"/>
        <w:contextualSpacing/>
        <w:rPr>
          <w:rFonts w:ascii="Book Antiqua" w:hAnsi="Book Antiqua"/>
          <w:sz w:val="20"/>
          <w:szCs w:val="20"/>
        </w:rPr>
      </w:pPr>
      <w:r>
        <w:rPr>
          <w:rFonts w:ascii="Book Antiqua" w:hAnsi="Book Antiqua"/>
          <w:sz w:val="20"/>
          <w:szCs w:val="20"/>
        </w:rPr>
        <w:t>You got something better</w:t>
      </w:r>
    </w:p>
    <w:p w:rsidR="00E41AB2" w:rsidRPr="00E41AB2" w:rsidRDefault="00E41AB2" w:rsidP="00E41AB2">
      <w:pPr>
        <w:tabs>
          <w:tab w:val="left" w:pos="720"/>
        </w:tabs>
        <w:spacing w:after="120"/>
        <w:ind w:left="720" w:right="720"/>
        <w:rPr>
          <w:rFonts w:ascii="Book Antiqua" w:hAnsi="Book Antiqua"/>
          <w:sz w:val="20"/>
          <w:szCs w:val="20"/>
        </w:rPr>
      </w:pPr>
      <w:r>
        <w:rPr>
          <w:rFonts w:ascii="Book Antiqua" w:hAnsi="Book Antiqua"/>
          <w:sz w:val="20"/>
          <w:szCs w:val="20"/>
        </w:rPr>
        <w:t>You’ve got a heart of stone.</w:t>
      </w:r>
      <w:r>
        <w:rPr>
          <w:rStyle w:val="FootnoteReference"/>
          <w:rFonts w:ascii="Book Antiqua" w:hAnsi="Book Antiqua"/>
          <w:sz w:val="20"/>
          <w:szCs w:val="20"/>
        </w:rPr>
        <w:footnoteReference w:id="192"/>
      </w:r>
    </w:p>
    <w:p w:rsidR="008752D8" w:rsidRDefault="007C7CD6" w:rsidP="004F645C">
      <w:pPr>
        <w:tabs>
          <w:tab w:val="left" w:pos="0"/>
        </w:tabs>
        <w:spacing w:after="120"/>
        <w:rPr>
          <w:rFonts w:ascii="Book Antiqua" w:hAnsi="Book Antiqua"/>
        </w:rPr>
      </w:pPr>
      <w:r>
        <w:rPr>
          <w:rFonts w:ascii="Book Antiqua" w:hAnsi="Book Antiqua"/>
        </w:rPr>
        <w:t>Harsh?  Sure.</w:t>
      </w:r>
      <w:r w:rsidR="007F594C">
        <w:rPr>
          <w:rStyle w:val="FootnoteReference"/>
          <w:rFonts w:ascii="Book Antiqua" w:hAnsi="Book Antiqua"/>
        </w:rPr>
        <w:footnoteReference w:id="193"/>
      </w:r>
      <w:r>
        <w:rPr>
          <w:rFonts w:ascii="Book Antiqua" w:hAnsi="Book Antiqua"/>
        </w:rPr>
        <w:t xml:space="preserve">  But the real question is whether it’s true.  And I think it is.  </w:t>
      </w:r>
      <w:r w:rsidR="002D06FE">
        <w:rPr>
          <w:rFonts w:ascii="Book Antiqua" w:hAnsi="Book Antiqua"/>
        </w:rPr>
        <w:t>You are so focused on</w:t>
      </w:r>
      <w:r w:rsidR="003D2447">
        <w:rPr>
          <w:rFonts w:ascii="Book Antiqua" w:hAnsi="Book Antiqua"/>
        </w:rPr>
        <w:t xml:space="preserve"> how we use our bodily </w:t>
      </w:r>
      <w:r w:rsidR="003D2447" w:rsidRPr="004573D5">
        <w:rPr>
          <w:rFonts w:ascii="Book Antiqua" w:hAnsi="Book Antiqua"/>
          <w:i/>
        </w:rPr>
        <w:t>members</w:t>
      </w:r>
      <w:r w:rsidR="002D06FE">
        <w:rPr>
          <w:rFonts w:ascii="Book Antiqua" w:hAnsi="Book Antiqua"/>
        </w:rPr>
        <w:t>, and whether that ‘use’ mirrors the divine, that through the smoke and mirrors the Cross of Christ is lost from sight.</w:t>
      </w:r>
      <w:r w:rsidR="00484A6A">
        <w:rPr>
          <w:rFonts w:ascii="Book Antiqua" w:hAnsi="Book Antiqua"/>
        </w:rPr>
        <w:t xml:space="preserve">  It is in surrender to the Cross that our natural loves find elevation</w:t>
      </w:r>
      <w:r w:rsidR="00944EB7">
        <w:rPr>
          <w:rFonts w:ascii="Book Antiqua" w:hAnsi="Book Antiqua"/>
        </w:rPr>
        <w:t xml:space="preserve"> into the life of God, in the mo</w:t>
      </w:r>
      <w:r w:rsidR="003D2447">
        <w:rPr>
          <w:rFonts w:ascii="Book Antiqua" w:hAnsi="Book Antiqua"/>
        </w:rPr>
        <w:t xml:space="preserve">st surprising </w:t>
      </w:r>
      <w:r w:rsidR="00944EB7">
        <w:rPr>
          <w:rFonts w:ascii="Book Antiqua" w:hAnsi="Book Antiqua"/>
        </w:rPr>
        <w:t>ways.  Without that sur</w:t>
      </w:r>
      <w:r w:rsidR="003D2447">
        <w:rPr>
          <w:rFonts w:ascii="Book Antiqua" w:hAnsi="Book Antiqua"/>
        </w:rPr>
        <w:t>-</w:t>
      </w:r>
      <w:r w:rsidR="00944EB7">
        <w:rPr>
          <w:rFonts w:ascii="Book Antiqua" w:hAnsi="Book Antiqua"/>
        </w:rPr>
        <w:t xml:space="preserve">render and elevation, our most ‘appropriate’ loves fall short.   With it, we are Christ’s, and He is God’s.  </w:t>
      </w:r>
      <w:r w:rsidR="003D2447">
        <w:rPr>
          <w:rFonts w:ascii="Book Antiqua" w:hAnsi="Book Antiqua"/>
        </w:rPr>
        <w:t xml:space="preserve">The key question is whether we are </w:t>
      </w:r>
      <w:r w:rsidR="003D2447" w:rsidRPr="004573D5">
        <w:rPr>
          <w:rFonts w:ascii="Book Antiqua" w:hAnsi="Book Antiqua"/>
          <w:i/>
        </w:rPr>
        <w:t>members</w:t>
      </w:r>
      <w:r w:rsidR="003D2447">
        <w:rPr>
          <w:rFonts w:ascii="Book Antiqua" w:hAnsi="Book Antiqua"/>
        </w:rPr>
        <w:t xml:space="preserve"> of the Body.  </w:t>
      </w:r>
      <w:r w:rsidR="00944EB7">
        <w:rPr>
          <w:rFonts w:ascii="Book Antiqua" w:hAnsi="Book Antiqua"/>
        </w:rPr>
        <w:t>That is the proclamation we desperately need to hear, and that need is rather impervious to Constitutional text.</w:t>
      </w:r>
    </w:p>
    <w:p w:rsidR="00313008" w:rsidRDefault="008D74EF" w:rsidP="004F645C">
      <w:pPr>
        <w:tabs>
          <w:tab w:val="left" w:pos="0"/>
        </w:tabs>
        <w:spacing w:after="120"/>
        <w:rPr>
          <w:rFonts w:ascii="Book Antiqua" w:hAnsi="Book Antiqua"/>
        </w:rPr>
      </w:pPr>
      <w:r>
        <w:rPr>
          <w:rFonts w:ascii="Book Antiqua" w:hAnsi="Book Antiqua"/>
        </w:rPr>
        <w:tab/>
        <w:t xml:space="preserve">Our understanding of nature, including natural love, </w:t>
      </w:r>
      <w:r w:rsidR="00D865A6">
        <w:rPr>
          <w:rFonts w:ascii="Book Antiqua" w:hAnsi="Book Antiqua"/>
        </w:rPr>
        <w:t xml:space="preserve">will undergo permutations, age to age, and culture to culture.  And there will be </w:t>
      </w:r>
      <w:r w:rsidR="00AD1CDF">
        <w:rPr>
          <w:rFonts w:ascii="Book Antiqua" w:hAnsi="Book Antiqua"/>
        </w:rPr>
        <w:t>decline, as well as progress; b</w:t>
      </w:r>
      <w:r w:rsidR="00D865A6">
        <w:rPr>
          <w:rFonts w:ascii="Book Antiqua" w:hAnsi="Book Antiqua"/>
        </w:rPr>
        <w:t>oth are real vectors of human history.  We must always be</w:t>
      </w:r>
      <w:r w:rsidR="00921BEA">
        <w:rPr>
          <w:rFonts w:ascii="Book Antiqua" w:hAnsi="Book Antiqua"/>
        </w:rPr>
        <w:t xml:space="preserve"> engaged in promoting the latter, reversing the former</w:t>
      </w:r>
      <w:r w:rsidR="00D865A6">
        <w:rPr>
          <w:rFonts w:ascii="Book Antiqua" w:hAnsi="Book Antiqua"/>
        </w:rPr>
        <w:t xml:space="preserve">.  It is ‘natural’ that there will be argument about which is which, and that argument must be allowed to take its ‘natural’ course.  </w:t>
      </w:r>
      <w:r w:rsidR="005C5147">
        <w:rPr>
          <w:rFonts w:ascii="Book Antiqua" w:hAnsi="Book Antiqua"/>
        </w:rPr>
        <w:t xml:space="preserve">This is precisely the argument in which we are presently engaged.  There is no surprise in the fact that members of the Church come to this argument with different understandings, and different judgments.  But where we should not differ is in our insistence that there is a third vector in human history, beyond progress and decline, and that is redemption.  Whatever the resolution of natural argument, </w:t>
      </w:r>
      <w:r w:rsidR="00CD7F41">
        <w:rPr>
          <w:rFonts w:ascii="Book Antiqua" w:hAnsi="Book Antiqua"/>
        </w:rPr>
        <w:t>there remains the mission of the Church to invite transformation of that resolution through the mysterious ministration of grace.</w:t>
      </w:r>
      <w:r w:rsidR="00614C42">
        <w:rPr>
          <w:rFonts w:ascii="Book Antiqua" w:hAnsi="Book Antiqua"/>
        </w:rPr>
        <w:t xml:space="preserve">  Whose heart a</w:t>
      </w:r>
      <w:r w:rsidR="00C557DC">
        <w:rPr>
          <w:rFonts w:ascii="Book Antiqua" w:hAnsi="Book Antiqua"/>
        </w:rPr>
        <w:t>ttaches to whose heart naturally</w:t>
      </w:r>
      <w:r w:rsidR="00614C42">
        <w:rPr>
          <w:rFonts w:ascii="Book Antiqua" w:hAnsi="Book Antiqua"/>
        </w:rPr>
        <w:t xml:space="preserve"> matters, but what ultimately matters is whether</w:t>
      </w:r>
      <w:r w:rsidR="00096619">
        <w:rPr>
          <w:rFonts w:ascii="Book Antiqua" w:hAnsi="Book Antiqua"/>
        </w:rPr>
        <w:t xml:space="preserve"> those hearts are of stone, or of flesh.</w:t>
      </w:r>
      <w:r w:rsidR="00CD7F41">
        <w:rPr>
          <w:rFonts w:ascii="Book Antiqua" w:hAnsi="Book Antiqua"/>
        </w:rPr>
        <w:t xml:space="preserve"> </w:t>
      </w:r>
    </w:p>
    <w:p w:rsidR="00CD7F41" w:rsidRDefault="00CD7F41" w:rsidP="004F645C">
      <w:pPr>
        <w:tabs>
          <w:tab w:val="left" w:pos="0"/>
        </w:tabs>
        <w:spacing w:after="120"/>
        <w:rPr>
          <w:rFonts w:ascii="Book Antiqua" w:hAnsi="Book Antiqua"/>
        </w:rPr>
      </w:pPr>
      <w:r>
        <w:rPr>
          <w:rFonts w:ascii="Book Antiqua" w:hAnsi="Book Antiqua"/>
        </w:rPr>
        <w:tab/>
      </w:r>
      <w:r w:rsidR="00F140D8">
        <w:rPr>
          <w:rFonts w:ascii="Book Antiqua" w:hAnsi="Book Antiqua"/>
        </w:rPr>
        <w:t xml:space="preserve">The worldview emerging from the thirteenth century opened possibilities for understanding nature in terms of its own dynamic energies, rather than in terms of reflections </w:t>
      </w:r>
      <w:r w:rsidR="00F140D8">
        <w:rPr>
          <w:rFonts w:ascii="Book Antiqua" w:hAnsi="Book Antiqua"/>
        </w:rPr>
        <w:lastRenderedPageBreak/>
        <w:t>from some ideal r</w:t>
      </w:r>
      <w:r w:rsidR="00FD182B">
        <w:rPr>
          <w:rFonts w:ascii="Book Antiqua" w:hAnsi="Book Antiqua"/>
        </w:rPr>
        <w:t>ealm, and this freed, not only theology, but ministry, to a deepened sense of the transformations wrought by grace.</w:t>
      </w:r>
      <w:r w:rsidR="007F594C">
        <w:rPr>
          <w:rFonts w:ascii="Book Antiqua" w:hAnsi="Book Antiqua"/>
        </w:rPr>
        <w:t xml:space="preserve">  That </w:t>
      </w:r>
      <w:r w:rsidR="00725119">
        <w:rPr>
          <w:rFonts w:ascii="Book Antiqua" w:hAnsi="Book Antiqua"/>
        </w:rPr>
        <w:t xml:space="preserve">today’s </w:t>
      </w:r>
      <w:r w:rsidR="007F594C">
        <w:rPr>
          <w:rFonts w:ascii="Book Antiqua" w:hAnsi="Book Antiqua"/>
        </w:rPr>
        <w:t xml:space="preserve">official Catholic thinking seems to have turned its back on that breakthrough seems </w:t>
      </w:r>
      <w:r w:rsidR="00110B61">
        <w:rPr>
          <w:rFonts w:ascii="Book Antiqua" w:hAnsi="Book Antiqua"/>
        </w:rPr>
        <w:t>tragic, and leaves me deeply</w:t>
      </w:r>
      <w:r w:rsidR="007F594C">
        <w:rPr>
          <w:rFonts w:ascii="Book Antiqua" w:hAnsi="Book Antiqua"/>
        </w:rPr>
        <w:t xml:space="preserve"> saddened.</w:t>
      </w:r>
      <w:r w:rsidR="00ED2A59">
        <w:rPr>
          <w:rFonts w:ascii="Book Antiqua" w:hAnsi="Book Antiqua"/>
        </w:rPr>
        <w:t xml:space="preserve">  But my highly unofficial </w:t>
      </w:r>
      <w:r w:rsidR="00EF5F5D">
        <w:rPr>
          <w:rFonts w:ascii="Book Antiqua" w:hAnsi="Book Antiqua"/>
        </w:rPr>
        <w:t xml:space="preserve">and even more highly insignificant </w:t>
      </w:r>
      <w:r w:rsidR="00ED2A59">
        <w:rPr>
          <w:rFonts w:ascii="Book Antiqua" w:hAnsi="Book Antiqua"/>
        </w:rPr>
        <w:t>Catholic thinking presses on.</w:t>
      </w:r>
    </w:p>
    <w:p w:rsidR="006A2813" w:rsidRDefault="00673ADE" w:rsidP="004F645C">
      <w:pPr>
        <w:tabs>
          <w:tab w:val="left" w:pos="0"/>
        </w:tabs>
        <w:spacing w:after="120"/>
        <w:rPr>
          <w:rFonts w:ascii="Book Antiqua" w:hAnsi="Book Antiqua"/>
        </w:rPr>
      </w:pPr>
      <w:r>
        <w:rPr>
          <w:rFonts w:ascii="Book Antiqua" w:hAnsi="Book Antiqua"/>
        </w:rPr>
        <w:tab/>
      </w:r>
      <w:r w:rsidR="001B6408">
        <w:rPr>
          <w:rFonts w:ascii="Book Antiqua" w:hAnsi="Book Antiqua"/>
        </w:rPr>
        <w:t xml:space="preserve">In this fourth stage of our mountainous climb, I will try to be as brief as I was long in stage three.  There </w:t>
      </w:r>
      <w:r w:rsidR="00397966">
        <w:rPr>
          <w:rFonts w:ascii="Book Antiqua" w:hAnsi="Book Antiqua"/>
        </w:rPr>
        <w:t xml:space="preserve">simply </w:t>
      </w:r>
      <w:r w:rsidR="001B6408">
        <w:rPr>
          <w:rFonts w:ascii="Book Antiqua" w:hAnsi="Book Antiqua"/>
        </w:rPr>
        <w:t>lingers the question as to where one turns for assistance in understanding the structured dynamisms of our nature if one wants to think and live within the Thomist worldview, but recognizes that Aristotle, for all his brilliance and perennial value, no longer provides the height, depth, length, and breadth</w:t>
      </w:r>
      <w:r w:rsidR="000F4615">
        <w:rPr>
          <w:rFonts w:ascii="Book Antiqua" w:hAnsi="Book Antiqua"/>
        </w:rPr>
        <w:t xml:space="preserve"> </w:t>
      </w:r>
      <w:r w:rsidR="001B6408">
        <w:rPr>
          <w:rFonts w:ascii="Book Antiqua" w:hAnsi="Book Antiqua"/>
        </w:rPr>
        <w:t>of natural scientific understanding.  And what might that ‘turning’ mean for present concern?</w:t>
      </w:r>
    </w:p>
    <w:p w:rsidR="00037596" w:rsidRDefault="008477A2" w:rsidP="004F645C">
      <w:pPr>
        <w:tabs>
          <w:tab w:val="left" w:pos="0"/>
        </w:tabs>
        <w:spacing w:after="120"/>
        <w:rPr>
          <w:rFonts w:ascii="Book Antiqua" w:hAnsi="Book Antiqua"/>
        </w:rPr>
      </w:pPr>
      <w:r>
        <w:rPr>
          <w:rFonts w:ascii="Book Antiqua" w:hAnsi="Book Antiqua"/>
        </w:rPr>
        <w:tab/>
        <w:t xml:space="preserve">When I </w:t>
      </w:r>
      <w:r w:rsidR="00394D0E">
        <w:rPr>
          <w:rFonts w:ascii="Book Antiqua" w:hAnsi="Book Antiqua"/>
        </w:rPr>
        <w:t xml:space="preserve">first </w:t>
      </w:r>
      <w:r>
        <w:rPr>
          <w:rFonts w:ascii="Book Antiqua" w:hAnsi="Book Antiqua"/>
        </w:rPr>
        <w:t xml:space="preserve">finished reading </w:t>
      </w:r>
      <w:r w:rsidRPr="00D85BF0">
        <w:rPr>
          <w:rFonts w:ascii="Book Antiqua" w:hAnsi="Book Antiqua"/>
          <w:i/>
        </w:rPr>
        <w:t>The Nuptial Mystery</w:t>
      </w:r>
      <w:r>
        <w:rPr>
          <w:rFonts w:ascii="Book Antiqua" w:hAnsi="Book Antiqua"/>
        </w:rPr>
        <w:t>, I felt a bit of a need to come back down to earth from transcendent orbit, and so I picked up a little book by Jared Diamond,</w:t>
      </w:r>
      <w:r>
        <w:rPr>
          <w:rStyle w:val="FootnoteReference"/>
          <w:rFonts w:ascii="Book Antiqua" w:hAnsi="Book Antiqua"/>
        </w:rPr>
        <w:footnoteReference w:id="194"/>
      </w:r>
      <w:r>
        <w:rPr>
          <w:rFonts w:ascii="Book Antiqua" w:hAnsi="Book Antiqua"/>
        </w:rPr>
        <w:t xml:space="preserve"> in which the great physiologist explores the evolutionary biological roots of the fact that human sex is fun.  I mean, I always suspected as much, but, still, it’s nice to have empirical proof.  The details are delightful, but the fundamental point is what matters here.  Cardinal Scola was deeply concerned with the need to probe the internal processions of Trinitarian love in order to distinguish human from animal sexuality.  </w:t>
      </w:r>
      <w:r w:rsidR="00F5019B">
        <w:rPr>
          <w:rFonts w:ascii="Book Antiqua" w:hAnsi="Book Antiqua"/>
        </w:rPr>
        <w:t>Diamond would tell him to chill.  Our sexuality can’t help but be human.  It may, to be sure, be humane or inhumane, but it is not animal.  Attention to basic biological fact eliminates this misleading consternation.</w:t>
      </w:r>
    </w:p>
    <w:p w:rsidR="00CA0D13" w:rsidRDefault="00F5019B" w:rsidP="004F645C">
      <w:pPr>
        <w:tabs>
          <w:tab w:val="left" w:pos="0"/>
        </w:tabs>
        <w:spacing w:after="120"/>
        <w:rPr>
          <w:rFonts w:ascii="Book Antiqua" w:hAnsi="Book Antiqua"/>
        </w:rPr>
      </w:pPr>
      <w:r>
        <w:rPr>
          <w:rFonts w:ascii="Book Antiqua" w:hAnsi="Book Antiqua"/>
        </w:rPr>
        <w:tab/>
        <w:t>Other mammals tend</w:t>
      </w:r>
      <w:r w:rsidR="009130FE">
        <w:rPr>
          <w:rStyle w:val="FootnoteReference"/>
          <w:rFonts w:ascii="Book Antiqua" w:hAnsi="Book Antiqua"/>
        </w:rPr>
        <w:footnoteReference w:id="195"/>
      </w:r>
      <w:r>
        <w:rPr>
          <w:rFonts w:ascii="Book Antiqua" w:hAnsi="Book Antiqua"/>
        </w:rPr>
        <w:t xml:space="preserve"> to have no interest in sex outside the brief, fertile phase of the reproductive cycle.  </w:t>
      </w:r>
      <w:r w:rsidR="009130FE">
        <w:rPr>
          <w:rFonts w:ascii="Book Antiqua" w:hAnsi="Book Antiqua"/>
        </w:rPr>
        <w:t xml:space="preserve">Females advertise their fertile availability:  their vaginas turning bright red in some species, presenting-rearward to male passersby, emitting distinctive smells, making noises like the damn she-cat that </w:t>
      </w:r>
      <w:r w:rsidR="00BD2E01">
        <w:rPr>
          <w:rFonts w:ascii="Book Antiqua" w:hAnsi="Book Antiqua"/>
        </w:rPr>
        <w:t xml:space="preserve">periodically </w:t>
      </w:r>
      <w:r w:rsidR="009130FE">
        <w:rPr>
          <w:rFonts w:ascii="Book Antiqua" w:hAnsi="Book Antiqua"/>
        </w:rPr>
        <w:t>prowls my neighborhood making it absolutely impossible to sleep until some tomcat relieves her misery.  Absent those signs, though, sexuality simply isn’t a factor in animal life.</w:t>
      </w:r>
    </w:p>
    <w:p w:rsidR="00F23D7D" w:rsidRDefault="00F23D7D" w:rsidP="004F645C">
      <w:pPr>
        <w:tabs>
          <w:tab w:val="left" w:pos="0"/>
        </w:tabs>
        <w:spacing w:after="120"/>
        <w:rPr>
          <w:rFonts w:ascii="Book Antiqua" w:hAnsi="Book Antiqua"/>
        </w:rPr>
      </w:pPr>
      <w:r>
        <w:rPr>
          <w:rFonts w:ascii="Book Antiqua" w:hAnsi="Book Antiqua"/>
        </w:rPr>
        <w:tab/>
        <w:t>We are rather different critters altogether.</w:t>
      </w:r>
      <w:r w:rsidR="006118B1">
        <w:rPr>
          <w:rFonts w:ascii="Book Antiqua" w:hAnsi="Book Antiqua"/>
        </w:rPr>
        <w:t xml:space="preserve">  In fact, we need to take classes in order to learn how to recognize the subtle signs of fertility (thermometers, mucus, and all that).  And those who take such classes more often than not wait for such signs to disappear in order to say ‘oh boy almond joy.’</w:t>
      </w:r>
      <w:r w:rsidR="004913D8">
        <w:rPr>
          <w:rFonts w:ascii="Book Antiqua" w:hAnsi="Book Antiqua"/>
        </w:rPr>
        <w:t xml:space="preserve">  The fundamental fact is that human sex is fun, and there is something fundamentally wrong with discussions of sex in which there is not the slightest advertence to human playfulness.</w:t>
      </w:r>
      <w:r w:rsidR="00C47D4E">
        <w:rPr>
          <w:rFonts w:ascii="Book Antiqua" w:hAnsi="Book Antiqua"/>
        </w:rPr>
        <w:t xml:space="preserve">  The vast majority of human sexual acts have nothing whatsoever to do with reproduction.  That has always been the case; we </w:t>
      </w:r>
      <w:r w:rsidR="00D85BF0">
        <w:rPr>
          <w:rFonts w:ascii="Book Antiqua" w:hAnsi="Book Antiqua"/>
        </w:rPr>
        <w:t xml:space="preserve">now </w:t>
      </w:r>
      <w:r w:rsidR="00C47D4E">
        <w:rPr>
          <w:rFonts w:ascii="Book Antiqua" w:hAnsi="Book Antiqua"/>
        </w:rPr>
        <w:t>simply know it.</w:t>
      </w:r>
    </w:p>
    <w:p w:rsidR="00AF4081" w:rsidRDefault="00AF4081" w:rsidP="004F645C">
      <w:pPr>
        <w:tabs>
          <w:tab w:val="left" w:pos="0"/>
        </w:tabs>
        <w:spacing w:after="120"/>
        <w:rPr>
          <w:rFonts w:ascii="Book Antiqua" w:hAnsi="Book Antiqua"/>
        </w:rPr>
      </w:pPr>
      <w:r>
        <w:rPr>
          <w:rFonts w:ascii="Book Antiqua" w:hAnsi="Book Antiqua"/>
        </w:rPr>
        <w:tab/>
        <w:t xml:space="preserve">I am not being frivolous here.  If that seems to be the case, then I am failing in my expression, or you in your reading, or some combination of the two.  Some things are just far too important to be considered with the unrelieved seriousness that seems to characterize far </w:t>
      </w:r>
      <w:r>
        <w:rPr>
          <w:rFonts w:ascii="Book Antiqua" w:hAnsi="Book Antiqua"/>
        </w:rPr>
        <w:lastRenderedPageBreak/>
        <w:t xml:space="preserve">too much Catholic moral reflection on matters sexual.  This is another sign that something is wrong.  In his commentary on the </w:t>
      </w:r>
      <w:r w:rsidRPr="005D780C">
        <w:rPr>
          <w:rFonts w:ascii="Book Antiqua" w:hAnsi="Book Antiqua"/>
          <w:i/>
        </w:rPr>
        <w:t>Nichomachean Ethics</w:t>
      </w:r>
      <w:r>
        <w:rPr>
          <w:rFonts w:ascii="Book Antiqua" w:hAnsi="Book Antiqua"/>
        </w:rPr>
        <w:t>, St. Thomas writes:</w:t>
      </w:r>
    </w:p>
    <w:p w:rsidR="00AF4081" w:rsidRPr="00AF4081" w:rsidRDefault="00AF4081" w:rsidP="00AF4081">
      <w:pPr>
        <w:tabs>
          <w:tab w:val="left" w:pos="720"/>
        </w:tabs>
        <w:spacing w:after="120"/>
        <w:ind w:left="720" w:right="720"/>
        <w:rPr>
          <w:rFonts w:ascii="Book Antiqua" w:hAnsi="Book Antiqua"/>
          <w:sz w:val="20"/>
          <w:szCs w:val="20"/>
        </w:rPr>
      </w:pPr>
      <w:r>
        <w:rPr>
          <w:rFonts w:ascii="Book Antiqua" w:hAnsi="Book Antiqua"/>
          <w:sz w:val="20"/>
          <w:szCs w:val="20"/>
        </w:rPr>
        <w:t>Therefore, unmitigated seriousness betokens a lack of virtue because it wholly despises play, which is as necessary for a good human life as rest is.</w:t>
      </w:r>
      <w:r>
        <w:rPr>
          <w:rStyle w:val="FootnoteReference"/>
          <w:rFonts w:ascii="Book Antiqua" w:hAnsi="Book Antiqua"/>
          <w:sz w:val="20"/>
          <w:szCs w:val="20"/>
        </w:rPr>
        <w:footnoteReference w:id="196"/>
      </w:r>
    </w:p>
    <w:p w:rsidR="00CA0D13" w:rsidRDefault="005D780C" w:rsidP="004F645C">
      <w:pPr>
        <w:tabs>
          <w:tab w:val="left" w:pos="0"/>
        </w:tabs>
        <w:spacing w:after="120"/>
        <w:rPr>
          <w:rFonts w:ascii="Book Antiqua" w:hAnsi="Book Antiqua"/>
        </w:rPr>
      </w:pPr>
      <w:r>
        <w:rPr>
          <w:rFonts w:ascii="Book Antiqua" w:hAnsi="Book Antiqua"/>
        </w:rPr>
        <w:t xml:space="preserve">Thus I found myself, as I was reading, occasionally saying to Cardinal Scola, ‘give it a </w:t>
      </w:r>
      <w:r w:rsidRPr="005D780C">
        <w:rPr>
          <w:rFonts w:ascii="Book Antiqua" w:hAnsi="Book Antiqua"/>
          <w:i/>
        </w:rPr>
        <w:t>rest</w:t>
      </w:r>
      <w:r>
        <w:rPr>
          <w:rFonts w:ascii="Book Antiqua" w:hAnsi="Book Antiqua"/>
        </w:rPr>
        <w:t xml:space="preserve">!’  To which I now would add, ‘give it a </w:t>
      </w:r>
      <w:r w:rsidRPr="00A260B1">
        <w:rPr>
          <w:rFonts w:ascii="Book Antiqua" w:hAnsi="Book Antiqua"/>
          <w:i/>
        </w:rPr>
        <w:t>jest</w:t>
      </w:r>
      <w:r>
        <w:rPr>
          <w:rFonts w:ascii="Book Antiqua" w:hAnsi="Book Antiqua"/>
        </w:rPr>
        <w:t>!’  It’s not that sex isn’t serious stuff; it is.  It can give life, and it can kill.  But it tends to be deadly from too little playfulness, not too much.  And the question of how to assist couples toward genuinely humane playfulness has profound pastoral urgency.</w:t>
      </w:r>
      <w:r w:rsidR="00A33DB6">
        <w:rPr>
          <w:rStyle w:val="FootnoteReference"/>
          <w:rFonts w:ascii="Book Antiqua" w:hAnsi="Book Antiqua"/>
        </w:rPr>
        <w:footnoteReference w:id="197"/>
      </w:r>
      <w:r>
        <w:rPr>
          <w:rFonts w:ascii="Book Antiqua" w:hAnsi="Book Antiqua"/>
        </w:rPr>
        <w:t xml:space="preserve">  That is a first lesson from evolutionary biology.</w:t>
      </w:r>
    </w:p>
    <w:p w:rsidR="005D780C" w:rsidRDefault="005D780C" w:rsidP="004F645C">
      <w:pPr>
        <w:tabs>
          <w:tab w:val="left" w:pos="0"/>
        </w:tabs>
        <w:spacing w:after="120"/>
        <w:rPr>
          <w:rFonts w:ascii="Book Antiqua" w:hAnsi="Book Antiqua"/>
        </w:rPr>
      </w:pPr>
      <w:r>
        <w:rPr>
          <w:rFonts w:ascii="Book Antiqua" w:hAnsi="Book Antiqua"/>
        </w:rPr>
        <w:tab/>
      </w:r>
      <w:r w:rsidR="003847E5">
        <w:rPr>
          <w:rFonts w:ascii="Book Antiqua" w:hAnsi="Book Antiqua"/>
        </w:rPr>
        <w:t xml:space="preserve">The only other point I would make here is that neo-Darwinian thought renders possible, and necessary, a transposition of the Aristotelian notion of </w:t>
      </w:r>
      <w:r w:rsidR="003847E5" w:rsidRPr="003847E5">
        <w:rPr>
          <w:rFonts w:ascii="Book Antiqua" w:hAnsi="Book Antiqua"/>
          <w:i/>
        </w:rPr>
        <w:t>species</w:t>
      </w:r>
      <w:r w:rsidR="003847E5">
        <w:rPr>
          <w:rFonts w:ascii="Book Antiqua" w:hAnsi="Book Antiqua"/>
        </w:rPr>
        <w:t>.</w:t>
      </w:r>
      <w:r w:rsidR="00A33DB6">
        <w:rPr>
          <w:rFonts w:ascii="Book Antiqua" w:hAnsi="Book Antiqua"/>
        </w:rPr>
        <w:t xml:space="preserve">  In the classical concept,</w:t>
      </w:r>
    </w:p>
    <w:p w:rsidR="00A33DB6" w:rsidRPr="00A33DB6" w:rsidRDefault="001A693F" w:rsidP="00A33DB6">
      <w:pPr>
        <w:tabs>
          <w:tab w:val="left" w:pos="720"/>
        </w:tabs>
        <w:spacing w:after="120"/>
        <w:ind w:left="720" w:right="720"/>
        <w:rPr>
          <w:rFonts w:ascii="Book Antiqua" w:hAnsi="Book Antiqua"/>
          <w:sz w:val="20"/>
          <w:szCs w:val="20"/>
        </w:rPr>
      </w:pPr>
      <w:r>
        <w:rPr>
          <w:rFonts w:ascii="Book Antiqua" w:hAnsi="Book Antiqua"/>
          <w:sz w:val="20"/>
          <w:szCs w:val="20"/>
        </w:rPr>
        <w:t>t</w:t>
      </w:r>
      <w:r w:rsidR="00A33DB6">
        <w:rPr>
          <w:rFonts w:ascii="Book Antiqua" w:hAnsi="Book Antiqua"/>
          <w:sz w:val="20"/>
          <w:szCs w:val="20"/>
        </w:rPr>
        <w:t>he differences among the individuals grouped under the same species concern only accidental characteristics, wherea</w:t>
      </w:r>
      <w:r w:rsidR="000344AC">
        <w:rPr>
          <w:rFonts w:ascii="Book Antiqua" w:hAnsi="Book Antiqua"/>
          <w:sz w:val="20"/>
          <w:szCs w:val="20"/>
        </w:rPr>
        <w:t>s different species are distinguished from each other by their different essential forms.</w:t>
      </w:r>
      <w:r w:rsidR="000344AC">
        <w:rPr>
          <w:rStyle w:val="FootnoteReference"/>
          <w:rFonts w:ascii="Book Antiqua" w:hAnsi="Book Antiqua"/>
          <w:sz w:val="20"/>
          <w:szCs w:val="20"/>
        </w:rPr>
        <w:footnoteReference w:id="198"/>
      </w:r>
    </w:p>
    <w:p w:rsidR="00CA0D13" w:rsidRDefault="000344AC" w:rsidP="004F645C">
      <w:pPr>
        <w:tabs>
          <w:tab w:val="left" w:pos="0"/>
        </w:tabs>
        <w:spacing w:after="120"/>
        <w:rPr>
          <w:rFonts w:ascii="Book Antiqua" w:hAnsi="Book Antiqua"/>
        </w:rPr>
      </w:pPr>
      <w:r>
        <w:rPr>
          <w:rFonts w:ascii="Book Antiqua" w:hAnsi="Book Antiqua"/>
        </w:rPr>
        <w:t>The evolutionary notion of species involves no such universal and necessary essence.  It is more a matter of ‘family resemblance.’  Members of a species share a preponderance of traits, but there are no specific traits</w:t>
      </w:r>
      <w:r w:rsidR="007B501F">
        <w:rPr>
          <w:rFonts w:ascii="Book Antiqua" w:hAnsi="Book Antiqua"/>
        </w:rPr>
        <w:t xml:space="preserve"> shared by all.  I know of no more serious engagement with neo-Darwinian thought from a fundamentally Thomist perspective than that of Stephen Pope, who comments:</w:t>
      </w:r>
    </w:p>
    <w:p w:rsidR="007B501F" w:rsidRPr="007B501F" w:rsidRDefault="007B501F" w:rsidP="007B501F">
      <w:pPr>
        <w:tabs>
          <w:tab w:val="left" w:pos="720"/>
        </w:tabs>
        <w:spacing w:after="120"/>
        <w:ind w:left="720" w:right="720"/>
        <w:rPr>
          <w:rFonts w:ascii="Book Antiqua" w:hAnsi="Book Antiqua"/>
          <w:sz w:val="20"/>
          <w:szCs w:val="20"/>
        </w:rPr>
      </w:pPr>
      <w:r w:rsidRPr="007B501F">
        <w:rPr>
          <w:rFonts w:ascii="Book Antiqua" w:hAnsi="Book Antiqua"/>
          <w:sz w:val="20"/>
          <w:szCs w:val="20"/>
        </w:rPr>
        <w:t>Knowledge of evolution replaces this static notion of species with one that is more open to change, is less stable, and allows considerably more diversity.</w:t>
      </w:r>
      <w:r>
        <w:rPr>
          <w:rStyle w:val="FootnoteReference"/>
          <w:rFonts w:ascii="Book Antiqua" w:hAnsi="Book Antiqua"/>
          <w:sz w:val="20"/>
          <w:szCs w:val="20"/>
        </w:rPr>
        <w:footnoteReference w:id="199"/>
      </w:r>
    </w:p>
    <w:p w:rsidR="00CA0D13" w:rsidRDefault="007B501F" w:rsidP="004F645C">
      <w:pPr>
        <w:tabs>
          <w:tab w:val="left" w:pos="0"/>
        </w:tabs>
        <w:spacing w:after="120"/>
        <w:rPr>
          <w:rFonts w:ascii="Book Antiqua" w:hAnsi="Book Antiqua"/>
        </w:rPr>
      </w:pPr>
      <w:r>
        <w:rPr>
          <w:rFonts w:ascii="Book Antiqua" w:hAnsi="Book Antiqua"/>
        </w:rPr>
        <w:t>And this insight into nature is a game-changer, with which we must come to terms if our speech about ‘natural’ law is to be anything other than a game of ‘let’s pretend.’</w:t>
      </w:r>
      <w:r w:rsidR="00DB4763">
        <w:rPr>
          <w:rFonts w:ascii="Book Antiqua" w:hAnsi="Book Antiqua"/>
        </w:rPr>
        <w:t xml:space="preserve">  Heterosexual inclination remains the human ‘norm,’ but deviation from that norm is perfectly natural in our species.  ‘Norm’ is a statistical term, and, while this does not preclude the possibility of a moral import to the term, moral reflection must begin with that statistical fact if it is to proceed as a ‘natural’ investigation.  Reproduction remains essential to our species.  But, while we have long acknowledged that it is not necessarily essential to each individual (thus, your celibacy is perfectly natural – well, maybe not ‘perfectly,’ but that’s a matter for you and your confessor), we now must grapple with the fact that it is not essential to every couple.  </w:t>
      </w:r>
      <w:r w:rsidR="00C24932">
        <w:rPr>
          <w:rFonts w:ascii="Book Antiqua" w:hAnsi="Book Antiqua"/>
        </w:rPr>
        <w:t>The vast majority of infertile couples in Minnesota are heterosexual, and that will remain true whether our Constitution tells it to be true or not.</w:t>
      </w:r>
      <w:r w:rsidR="006D56AF">
        <w:rPr>
          <w:rFonts w:ascii="Book Antiqua" w:hAnsi="Book Antiqua"/>
        </w:rPr>
        <w:t xml:space="preserve">  That fact changes nothing about the nature of our species, but it may well change how we think about individual persons and couples.</w:t>
      </w:r>
    </w:p>
    <w:p w:rsidR="00776912" w:rsidRDefault="00776912" w:rsidP="004F645C">
      <w:pPr>
        <w:tabs>
          <w:tab w:val="left" w:pos="0"/>
        </w:tabs>
        <w:spacing w:after="120"/>
        <w:rPr>
          <w:rFonts w:ascii="Book Antiqua" w:hAnsi="Book Antiqua"/>
        </w:rPr>
      </w:pPr>
      <w:r>
        <w:rPr>
          <w:rFonts w:ascii="Book Antiqua" w:hAnsi="Book Antiqua"/>
        </w:rPr>
        <w:lastRenderedPageBreak/>
        <w:tab/>
        <w:t>And this is not completely discontinuous with traditional ways of thinking.  St. Thomas had observed:</w:t>
      </w:r>
    </w:p>
    <w:p w:rsidR="00776912" w:rsidRPr="00776912" w:rsidRDefault="00776912" w:rsidP="00776912">
      <w:pPr>
        <w:tabs>
          <w:tab w:val="left" w:pos="720"/>
        </w:tabs>
        <w:spacing w:after="120"/>
        <w:ind w:left="720" w:right="720"/>
        <w:rPr>
          <w:rFonts w:ascii="Book Antiqua" w:hAnsi="Book Antiqua"/>
          <w:sz w:val="20"/>
          <w:szCs w:val="20"/>
        </w:rPr>
      </w:pPr>
      <w:r>
        <w:rPr>
          <w:rFonts w:ascii="Book Antiqua" w:hAnsi="Book Antiqua"/>
          <w:sz w:val="20"/>
          <w:szCs w:val="20"/>
        </w:rPr>
        <w:t>Instead we should state that distinctiveness and the plurality of things is because the first agent, who is God, intended them.  For he brought things into existence so that his goodness might be communicated to creatures and re-enacted through them.  And because one single creature was not enough, he produced many and diverse, so that what was wanting in one expression of the divine goodness might be supplied by another, for goodness, which in God is single and all together, in creatures is multiple and scattered.  Hence the whole universe more completely than one alon</w:t>
      </w:r>
      <w:r w:rsidR="003E3C73">
        <w:rPr>
          <w:rFonts w:ascii="Book Antiqua" w:hAnsi="Book Antiqua"/>
          <w:sz w:val="20"/>
          <w:szCs w:val="20"/>
        </w:rPr>
        <w:t>e</w:t>
      </w:r>
      <w:r>
        <w:rPr>
          <w:rFonts w:ascii="Book Antiqua" w:hAnsi="Book Antiqua"/>
          <w:sz w:val="20"/>
          <w:szCs w:val="20"/>
        </w:rPr>
        <w:t xml:space="preserve"> shares and represents his goodness.  And because divine wisdom is the cause of variety in things.</w:t>
      </w:r>
      <w:r>
        <w:rPr>
          <w:rStyle w:val="FootnoteReference"/>
          <w:rFonts w:ascii="Book Antiqua" w:hAnsi="Book Antiqua"/>
          <w:sz w:val="20"/>
          <w:szCs w:val="20"/>
        </w:rPr>
        <w:footnoteReference w:id="200"/>
      </w:r>
    </w:p>
    <w:p w:rsidR="00CA0D13" w:rsidRDefault="003E3C73" w:rsidP="004F645C">
      <w:pPr>
        <w:tabs>
          <w:tab w:val="left" w:pos="0"/>
        </w:tabs>
        <w:spacing w:after="120"/>
        <w:rPr>
          <w:rFonts w:ascii="Book Antiqua" w:hAnsi="Book Antiqua"/>
        </w:rPr>
      </w:pPr>
      <w:r>
        <w:rPr>
          <w:rFonts w:ascii="Book Antiqua" w:hAnsi="Book Antiqua"/>
        </w:rPr>
        <w:t xml:space="preserve">Greater variety than he could </w:t>
      </w:r>
      <w:r w:rsidR="00B463DC">
        <w:rPr>
          <w:rFonts w:ascii="Book Antiqua" w:hAnsi="Book Antiqua"/>
        </w:rPr>
        <w:t xml:space="preserve">have </w:t>
      </w:r>
      <w:r>
        <w:rPr>
          <w:rFonts w:ascii="Book Antiqua" w:hAnsi="Book Antiqua"/>
        </w:rPr>
        <w:t xml:space="preserve">possibly imagined, knowing nothing of </w:t>
      </w:r>
      <w:r w:rsidR="00B463DC">
        <w:rPr>
          <w:rFonts w:ascii="Book Antiqua" w:hAnsi="Book Antiqua"/>
        </w:rPr>
        <w:t xml:space="preserve">either </w:t>
      </w:r>
      <w:r>
        <w:rPr>
          <w:rFonts w:ascii="Book Antiqua" w:hAnsi="Book Antiqua"/>
        </w:rPr>
        <w:t xml:space="preserve">quarks or bandicoots, though he surely would have relished the opportunity to learn of both.  </w:t>
      </w:r>
      <w:r w:rsidR="000C3F15">
        <w:rPr>
          <w:rFonts w:ascii="Book Antiqua" w:hAnsi="Book Antiqua"/>
        </w:rPr>
        <w:t>And in that very curiosity he seems strangely more akin to contemporary scientists than to many who spend their entire lives interpreting his own words.</w:t>
      </w:r>
    </w:p>
    <w:p w:rsidR="00CA0D13" w:rsidRDefault="00146EAF" w:rsidP="004F645C">
      <w:pPr>
        <w:tabs>
          <w:tab w:val="left" w:pos="0"/>
        </w:tabs>
        <w:spacing w:after="120"/>
        <w:rPr>
          <w:rFonts w:ascii="Book Antiqua" w:hAnsi="Book Antiqua"/>
        </w:rPr>
      </w:pPr>
      <w:r>
        <w:rPr>
          <w:rFonts w:ascii="Book Antiqua" w:hAnsi="Book Antiqua"/>
        </w:rPr>
        <w:tab/>
        <w:t xml:space="preserve">My knowledge of contemporary biology could be contained in the proverbial thimble, so I will stop here, lest I reveal too much more ignorance.  I know enough, though, to assert that you can’t authentically pontificate about natural law without knowing about nature, and you can’t know about human nature without knowing about biology, and today you can’t know about biology without investigating our evolutionary inheritance.  Further, such investigations seem clearly to point to greater natural diversity in our species </w:t>
      </w:r>
      <w:r w:rsidR="001F172D">
        <w:rPr>
          <w:rFonts w:ascii="Book Antiqua" w:hAnsi="Book Antiqua"/>
        </w:rPr>
        <w:t>than had been classically conceived.  Any moral thinking that attempts to shortcut such investigation is mere moralizing, another way of saying ‘mystification.’</w:t>
      </w:r>
    </w:p>
    <w:p w:rsidR="00037596" w:rsidRDefault="006F50D7" w:rsidP="004F645C">
      <w:pPr>
        <w:tabs>
          <w:tab w:val="left" w:pos="0"/>
        </w:tabs>
        <w:spacing w:after="120"/>
        <w:rPr>
          <w:rFonts w:ascii="Book Antiqua" w:hAnsi="Book Antiqua"/>
        </w:rPr>
      </w:pPr>
      <w:r>
        <w:rPr>
          <w:rFonts w:ascii="Book Antiqua" w:hAnsi="Book Antiqua"/>
        </w:rPr>
        <w:tab/>
        <w:t>A next step is the realization that it is in our nature to be incomplete without the directing information provided to our evolutionary inheritance by culture</w:t>
      </w:r>
      <w:r w:rsidR="00561827">
        <w:rPr>
          <w:rFonts w:ascii="Book Antiqua" w:hAnsi="Book Antiqua"/>
        </w:rPr>
        <w:t>, our ‘second nature.</w:t>
      </w:r>
      <w:r w:rsidR="00CE0B2E">
        <w:rPr>
          <w:rFonts w:ascii="Book Antiqua" w:hAnsi="Book Antiqua"/>
        </w:rPr>
        <w:t>’</w:t>
      </w:r>
    </w:p>
    <w:p w:rsidR="00CE0B2E" w:rsidRPr="00CE0B2E" w:rsidRDefault="00CE0B2E" w:rsidP="00CE0B2E">
      <w:pPr>
        <w:tabs>
          <w:tab w:val="left" w:pos="720"/>
        </w:tabs>
        <w:spacing w:after="120"/>
        <w:ind w:left="720" w:right="720"/>
        <w:rPr>
          <w:rFonts w:ascii="Book Antiqua" w:hAnsi="Book Antiqua"/>
          <w:sz w:val="20"/>
          <w:szCs w:val="20"/>
        </w:rPr>
      </w:pPr>
      <w:r w:rsidRPr="00CE0B2E">
        <w:rPr>
          <w:rFonts w:ascii="Book Antiqua" w:hAnsi="Book Antiqua"/>
          <w:sz w:val="20"/>
          <w:szCs w:val="20"/>
        </w:rPr>
        <w:t xml:space="preserve">Whatever universal species-specific biological traits we have will always bear their moral significance within particular cultural contexts. </w:t>
      </w:r>
      <w:r>
        <w:rPr>
          <w:rStyle w:val="FootnoteReference"/>
          <w:rFonts w:ascii="Book Antiqua" w:hAnsi="Book Antiqua"/>
          <w:sz w:val="20"/>
          <w:szCs w:val="20"/>
        </w:rPr>
        <w:footnoteReference w:id="201"/>
      </w:r>
    </w:p>
    <w:p w:rsidR="00A33DB6" w:rsidRDefault="00CE0B2E" w:rsidP="004F645C">
      <w:pPr>
        <w:tabs>
          <w:tab w:val="left" w:pos="0"/>
        </w:tabs>
        <w:spacing w:after="120"/>
        <w:rPr>
          <w:rFonts w:ascii="Book Antiqua" w:hAnsi="Book Antiqua"/>
        </w:rPr>
      </w:pPr>
      <w:r>
        <w:rPr>
          <w:rFonts w:ascii="Book Antiqua" w:hAnsi="Book Antiqua"/>
        </w:rPr>
        <w:t>And here, of course, emerges another source of variation, and thus a further foundation of divergent understandings of ‘nature.’  Cardinal Scola</w:t>
      </w:r>
      <w:r w:rsidR="00AC2AF8">
        <w:rPr>
          <w:rFonts w:ascii="Book Antiqua" w:hAnsi="Book Antiqua"/>
        </w:rPr>
        <w:t xml:space="preserve">’s </w:t>
      </w:r>
      <w:r>
        <w:rPr>
          <w:rFonts w:ascii="Book Antiqua" w:hAnsi="Book Antiqua"/>
        </w:rPr>
        <w:t>oblique r</w:t>
      </w:r>
      <w:r w:rsidR="00AC2AF8">
        <w:rPr>
          <w:rFonts w:ascii="Book Antiqua" w:hAnsi="Book Antiqua"/>
        </w:rPr>
        <w:t>eference to Claude Lévi-Strauss is instructive here, with its assumption of structuralism as preferred mode of anthropological reflection</w:t>
      </w:r>
      <w:r w:rsidR="00D27276">
        <w:rPr>
          <w:rFonts w:ascii="Book Antiqua" w:hAnsi="Book Antiqua"/>
        </w:rPr>
        <w:t>, enabling him to posit a universal “central core” of culture.</w:t>
      </w:r>
      <w:r w:rsidR="00D27276">
        <w:rPr>
          <w:rStyle w:val="FootnoteReference"/>
          <w:rFonts w:ascii="Book Antiqua" w:hAnsi="Book Antiqua"/>
        </w:rPr>
        <w:footnoteReference w:id="202"/>
      </w:r>
      <w:r w:rsidR="003F4B30">
        <w:rPr>
          <w:rFonts w:ascii="Book Antiqua" w:hAnsi="Book Antiqua"/>
        </w:rPr>
        <w:t xml:space="preserve">  </w:t>
      </w:r>
      <w:r w:rsidR="001D4858">
        <w:rPr>
          <w:rFonts w:ascii="Book Antiqua" w:hAnsi="Book Antiqua"/>
        </w:rPr>
        <w:t>Subsequent generations</w:t>
      </w:r>
      <w:r w:rsidR="003D2447">
        <w:rPr>
          <w:rFonts w:ascii="Book Antiqua" w:hAnsi="Book Antiqua"/>
        </w:rPr>
        <w:t xml:space="preserve"> </w:t>
      </w:r>
      <w:r w:rsidR="001D4858">
        <w:rPr>
          <w:rFonts w:ascii="Book Antiqua" w:hAnsi="Book Antiqua"/>
        </w:rPr>
        <w:t>of anthropologists sought long for such a ‘core,’ but have quite generally concluded</w:t>
      </w:r>
      <w:r w:rsidR="001D4858">
        <w:rPr>
          <w:rStyle w:val="FootnoteReference"/>
          <w:rFonts w:ascii="Book Antiqua" w:hAnsi="Book Antiqua"/>
        </w:rPr>
        <w:footnoteReference w:id="203"/>
      </w:r>
      <w:r w:rsidR="001D4858">
        <w:rPr>
          <w:rFonts w:ascii="Book Antiqua" w:hAnsi="Book Antiqua"/>
        </w:rPr>
        <w:t xml:space="preserve"> that it</w:t>
      </w:r>
      <w:r w:rsidR="009D63C4">
        <w:rPr>
          <w:rFonts w:ascii="Book Antiqua" w:hAnsi="Book Antiqua"/>
        </w:rPr>
        <w:t xml:space="preserve"> </w:t>
      </w:r>
      <w:r w:rsidR="001D4858">
        <w:rPr>
          <w:rFonts w:ascii="Book Antiqua" w:hAnsi="Book Antiqua"/>
        </w:rPr>
        <w:lastRenderedPageBreak/>
        <w:t>h</w:t>
      </w:r>
      <w:r w:rsidR="004A09E6">
        <w:rPr>
          <w:rFonts w:ascii="Book Antiqua" w:hAnsi="Book Antiqua"/>
        </w:rPr>
        <w:t>ad all been akin to Ponce de Leó</w:t>
      </w:r>
      <w:r w:rsidR="001D4858">
        <w:rPr>
          <w:rFonts w:ascii="Book Antiqua" w:hAnsi="Book Antiqua"/>
        </w:rPr>
        <w:t>n’s quest for the fountain of yo</w:t>
      </w:r>
      <w:r w:rsidR="009D63C4">
        <w:rPr>
          <w:rFonts w:ascii="Book Antiqua" w:hAnsi="Book Antiqua"/>
        </w:rPr>
        <w:t xml:space="preserve">uth.  It had been an enchanting </w:t>
      </w:r>
      <w:r w:rsidR="001D4858">
        <w:rPr>
          <w:rFonts w:ascii="Book Antiqua" w:hAnsi="Book Antiqua"/>
        </w:rPr>
        <w:t xml:space="preserve">quest, but at a certain point you stop looking for the fountain, which isn’t ‘there,’ and start looking at what </w:t>
      </w:r>
      <w:r w:rsidR="001D4858" w:rsidRPr="001D4858">
        <w:rPr>
          <w:rFonts w:ascii="Book Antiqua" w:hAnsi="Book Antiqua"/>
          <w:i/>
        </w:rPr>
        <w:t>is</w:t>
      </w:r>
      <w:r w:rsidR="001D4858">
        <w:rPr>
          <w:rFonts w:ascii="Book Antiqua" w:hAnsi="Book Antiqua"/>
        </w:rPr>
        <w:t xml:space="preserve"> ‘there.’  What Lévi-Strauss had found in the </w:t>
      </w:r>
      <w:r w:rsidR="00355311">
        <w:rPr>
          <w:rFonts w:ascii="Book Antiqua" w:hAnsi="Book Antiqua"/>
        </w:rPr>
        <w:t>savages of the Brazilian jungles was precisely what Rousseau had told him he would find,</w:t>
      </w:r>
      <w:r w:rsidR="00355311">
        <w:rPr>
          <w:rStyle w:val="FootnoteReference"/>
          <w:rFonts w:ascii="Book Antiqua" w:hAnsi="Book Antiqua"/>
        </w:rPr>
        <w:footnoteReference w:id="204"/>
      </w:r>
      <w:r w:rsidR="00355311">
        <w:rPr>
          <w:rFonts w:ascii="Book Antiqua" w:hAnsi="Book Antiqua"/>
        </w:rPr>
        <w:t xml:space="preserve"> and that was precisely why he ‘found’ it.  He hadn’t really even needed to make his Amazonian journey.</w:t>
      </w:r>
      <w:r w:rsidR="00D22B78">
        <w:rPr>
          <w:rFonts w:ascii="Book Antiqua" w:hAnsi="Book Antiqua"/>
        </w:rPr>
        <w:t xml:space="preserve">  Such anthropology “annuls history,” and “replaces the particular minds of particular savages in particular jungles with the Savage Mind immanent in us all.”</w:t>
      </w:r>
      <w:r w:rsidR="00D22B78">
        <w:rPr>
          <w:rStyle w:val="FootnoteReference"/>
          <w:rFonts w:ascii="Book Antiqua" w:hAnsi="Book Antiqua"/>
        </w:rPr>
        <w:footnoteReference w:id="205"/>
      </w:r>
    </w:p>
    <w:p w:rsidR="00A33DB6" w:rsidRDefault="00355311" w:rsidP="004F645C">
      <w:pPr>
        <w:tabs>
          <w:tab w:val="left" w:pos="0"/>
        </w:tabs>
        <w:spacing w:after="120"/>
        <w:rPr>
          <w:rFonts w:ascii="Book Antiqua" w:hAnsi="Book Antiqua"/>
        </w:rPr>
      </w:pPr>
      <w:r>
        <w:rPr>
          <w:rFonts w:ascii="Book Antiqua" w:hAnsi="Book Antiqua"/>
        </w:rPr>
        <w:tab/>
        <w:t>Anthropologists today tend not to find any such ‘central core,’ and they have looked far and wide.  To the extent that there is something universally present in the dizzying array of human cultural variety</w:t>
      </w:r>
      <w:r w:rsidR="00DA31F7">
        <w:rPr>
          <w:rFonts w:ascii="Book Antiqua" w:hAnsi="Book Antiqua"/>
        </w:rPr>
        <w:t>,</w:t>
      </w:r>
      <w:r>
        <w:rPr>
          <w:rFonts w:ascii="Book Antiqua" w:hAnsi="Book Antiqua"/>
        </w:rPr>
        <w:t xml:space="preserve"> it is the fact that we are meaning-making and meaning-made beings.  The biological facts of food, sex, and death, </w:t>
      </w:r>
      <w:r w:rsidR="005E6E05">
        <w:rPr>
          <w:rFonts w:ascii="Book Antiqua" w:hAnsi="Book Antiqua"/>
        </w:rPr>
        <w:t>always and everywhere evoke meanings to make sense of them.  Meaning-making is universal; ‘meanings’ are not.  And desperate efforts to construe universal cultural meanings tend to blind thos</w:t>
      </w:r>
      <w:r w:rsidR="0010432C">
        <w:rPr>
          <w:rFonts w:ascii="Book Antiqua" w:hAnsi="Book Antiqua"/>
        </w:rPr>
        <w:t>e making such</w:t>
      </w:r>
      <w:r w:rsidR="005E6E05">
        <w:rPr>
          <w:rFonts w:ascii="Book Antiqua" w:hAnsi="Book Antiqua"/>
        </w:rPr>
        <w:t xml:space="preserve"> efforts to the concrete reality of the meaning-makers they </w:t>
      </w:r>
      <w:r w:rsidR="00DA31F7">
        <w:rPr>
          <w:rFonts w:ascii="Book Antiqua" w:hAnsi="Book Antiqua"/>
        </w:rPr>
        <w:t xml:space="preserve">actually </w:t>
      </w:r>
      <w:r w:rsidR="005E6E05">
        <w:rPr>
          <w:rFonts w:ascii="Book Antiqua" w:hAnsi="Book Antiqua"/>
        </w:rPr>
        <w:t>encounter.</w:t>
      </w:r>
      <w:r w:rsidR="00845E76">
        <w:rPr>
          <w:rFonts w:ascii="Book Antiqua" w:hAnsi="Book Antiqua"/>
        </w:rPr>
        <w:t xml:space="preserve">  </w:t>
      </w:r>
    </w:p>
    <w:p w:rsidR="00E51B7D" w:rsidRDefault="00E51B7D" w:rsidP="004F645C">
      <w:pPr>
        <w:tabs>
          <w:tab w:val="left" w:pos="0"/>
        </w:tabs>
        <w:spacing w:after="120"/>
        <w:rPr>
          <w:rFonts w:ascii="Book Antiqua" w:hAnsi="Book Antiqua"/>
        </w:rPr>
      </w:pPr>
      <w:r>
        <w:rPr>
          <w:rFonts w:ascii="Book Antiqua" w:hAnsi="Book Antiqua"/>
        </w:rPr>
        <w:tab/>
        <w:t>There emerge</w:t>
      </w:r>
      <w:r w:rsidR="00DA31F7">
        <w:rPr>
          <w:rFonts w:ascii="Book Antiqua" w:hAnsi="Book Antiqua"/>
        </w:rPr>
        <w:t>s</w:t>
      </w:r>
      <w:r>
        <w:rPr>
          <w:rFonts w:ascii="Book Antiqua" w:hAnsi="Book Antiqua"/>
        </w:rPr>
        <w:t xml:space="preserve"> from this, of course, a constant stream of accusations of relativism.  A certain cast of mind can rest only in universals, and seems only able to cast aspersions on others not caught in the net of that need.</w:t>
      </w:r>
      <w:r w:rsidR="00A93AC0">
        <w:rPr>
          <w:rFonts w:ascii="Book Antiqua" w:hAnsi="Book Antiqua"/>
        </w:rPr>
        <w:t xml:space="preserve">  Contemporary anthropologists have not stopped positing a universal and necessary core of culture because they have surrendered to any dictatorship of relativism, but simply because they have discovered that assertion of such a cultural core is not </w:t>
      </w:r>
      <w:r w:rsidR="00A93AC0" w:rsidRPr="00A93AC0">
        <w:rPr>
          <w:rFonts w:ascii="Book Antiqua" w:hAnsi="Book Antiqua"/>
          <w:i/>
        </w:rPr>
        <w:t>true</w:t>
      </w:r>
      <w:r w:rsidR="00A93AC0">
        <w:rPr>
          <w:rFonts w:ascii="Book Antiqua" w:hAnsi="Book Antiqua"/>
        </w:rPr>
        <w:t>.  Ironic, isn’t it?  Insistence on pursuing truth, whereve</w:t>
      </w:r>
      <w:r w:rsidR="000A4D65">
        <w:rPr>
          <w:rFonts w:ascii="Book Antiqua" w:hAnsi="Book Antiqua"/>
        </w:rPr>
        <w:t>r it leads, leads to being accused</w:t>
      </w:r>
      <w:r w:rsidR="00A93AC0">
        <w:rPr>
          <w:rFonts w:ascii="Book Antiqua" w:hAnsi="Book Antiqua"/>
        </w:rPr>
        <w:t xml:space="preserve"> of relativism.  Back to Chenu’s judgment that Bonaventure was willing to sacrifice truth in order to defend the worldview </w:t>
      </w:r>
      <w:r w:rsidR="00D47102">
        <w:rPr>
          <w:rFonts w:ascii="Book Antiqua" w:hAnsi="Book Antiqua"/>
        </w:rPr>
        <w:t xml:space="preserve">he fearfully found </w:t>
      </w:r>
      <w:r w:rsidR="00A93AC0">
        <w:rPr>
          <w:rFonts w:ascii="Book Antiqua" w:hAnsi="Book Antiqua"/>
        </w:rPr>
        <w:t>essential to his faith.</w:t>
      </w:r>
      <w:r w:rsidR="00A93AC0">
        <w:rPr>
          <w:rStyle w:val="FootnoteReference"/>
          <w:rFonts w:ascii="Book Antiqua" w:hAnsi="Book Antiqua"/>
        </w:rPr>
        <w:footnoteReference w:id="206"/>
      </w:r>
    </w:p>
    <w:p w:rsidR="00A33DB6" w:rsidRDefault="003B32C8" w:rsidP="004F645C">
      <w:pPr>
        <w:tabs>
          <w:tab w:val="left" w:pos="0"/>
        </w:tabs>
        <w:spacing w:after="120"/>
        <w:rPr>
          <w:rFonts w:ascii="Book Antiqua" w:hAnsi="Book Antiqua"/>
        </w:rPr>
      </w:pPr>
      <w:r>
        <w:rPr>
          <w:rFonts w:ascii="Book Antiqua" w:hAnsi="Book Antiqua"/>
        </w:rPr>
        <w:tab/>
        <w:t>Resistance to absolutism doesn’t necessarily constitute relativism.  Clifford Geertz insists that, while he is not a relativist, he is insistently “anti anti-relativist.”</w:t>
      </w:r>
      <w:r>
        <w:rPr>
          <w:rStyle w:val="FootnoteReference"/>
          <w:rFonts w:ascii="Book Antiqua" w:hAnsi="Book Antiqua"/>
        </w:rPr>
        <w:footnoteReference w:id="207"/>
      </w:r>
      <w:r>
        <w:rPr>
          <w:rFonts w:ascii="Book Antiqua" w:hAnsi="Book Antiqua"/>
        </w:rPr>
        <w:t xml:space="preserve">  His allusion, of course, is to the McCarthyism of our childhood:  being anti anti-Communist did not mean that one secretly carried hammers and sickles tattooed on one’s heart</w:t>
      </w:r>
      <w:r w:rsidR="009F3C9D">
        <w:rPr>
          <w:rFonts w:ascii="Book Antiqua" w:hAnsi="Book Antiqua"/>
        </w:rPr>
        <w:t xml:space="preserve">; it simply meant that one judged the Senator from Wisconsin to be an unconscionable bully, who painted with far too broad a brush, and, thus, did a horribly sloppy job, at enormous human cost.  Similarly, simple refusal to pay obeisance to the claims of absolutism does not constitute relativism.  The whole back-and-forth of accusations, claims and counter-claims, is often nothing more than a chimera.  To be sure, both relativism and absolutism are real dangers:  the former eliminates human judgment, the latter removes </w:t>
      </w:r>
      <w:r w:rsidR="002C4117">
        <w:rPr>
          <w:rFonts w:ascii="Book Antiqua" w:hAnsi="Book Antiqua"/>
        </w:rPr>
        <w:t xml:space="preserve">that </w:t>
      </w:r>
      <w:r w:rsidR="009F3C9D">
        <w:rPr>
          <w:rFonts w:ascii="Book Antiqua" w:hAnsi="Book Antiqua"/>
        </w:rPr>
        <w:t>judgment from history.</w:t>
      </w:r>
    </w:p>
    <w:p w:rsidR="009F3C9D" w:rsidRDefault="009F3C9D" w:rsidP="004F645C">
      <w:pPr>
        <w:tabs>
          <w:tab w:val="left" w:pos="0"/>
        </w:tabs>
        <w:spacing w:after="120"/>
        <w:rPr>
          <w:rFonts w:ascii="Book Antiqua" w:hAnsi="Book Antiqua"/>
        </w:rPr>
      </w:pPr>
      <w:r>
        <w:rPr>
          <w:rFonts w:ascii="Book Antiqua" w:hAnsi="Book Antiqua"/>
        </w:rPr>
        <w:lastRenderedPageBreak/>
        <w:tab/>
        <w:t xml:space="preserve">Authenticity requires making judgments </w:t>
      </w:r>
      <w:r w:rsidRPr="00E03E00">
        <w:rPr>
          <w:rFonts w:ascii="Book Antiqua" w:hAnsi="Book Antiqua"/>
          <w:i/>
        </w:rPr>
        <w:t>in</w:t>
      </w:r>
      <w:r>
        <w:rPr>
          <w:rFonts w:ascii="Book Antiqua" w:hAnsi="Book Antiqua"/>
        </w:rPr>
        <w:t xml:space="preserve"> history, and </w:t>
      </w:r>
      <w:r w:rsidRPr="00E03E00">
        <w:rPr>
          <w:rFonts w:ascii="Book Antiqua" w:hAnsi="Book Antiqua"/>
        </w:rPr>
        <w:t>that</w:t>
      </w:r>
      <w:r>
        <w:rPr>
          <w:rFonts w:ascii="Book Antiqua" w:hAnsi="Book Antiqua"/>
        </w:rPr>
        <w:t xml:space="preserve"> is the real crux of the matter.</w:t>
      </w:r>
      <w:r w:rsidR="00D21736">
        <w:rPr>
          <w:rFonts w:ascii="Book Antiqua" w:hAnsi="Book Antiqua"/>
        </w:rPr>
        <w:t xml:space="preserve">  The truly significant distinction is between authenticity and inauthenticity, not between relativism and anti-relativism.  Positing truth is always relative:  relative to the absence of further relevant questions.  A presumption of positing truth, unless tentatively and modestly, in the presence of such questions, betokens inauthenticity.  And that is true of an Eminence like Your Grace, a</w:t>
      </w:r>
      <w:r w:rsidR="008C463C">
        <w:rPr>
          <w:rFonts w:ascii="Book Antiqua" w:hAnsi="Book Antiqua"/>
        </w:rPr>
        <w:t>s well as</w:t>
      </w:r>
      <w:r w:rsidR="00D21736">
        <w:rPr>
          <w:rFonts w:ascii="Book Antiqua" w:hAnsi="Book Antiqua"/>
        </w:rPr>
        <w:t xml:space="preserve"> of a peon like me.</w:t>
      </w:r>
    </w:p>
    <w:p w:rsidR="00D21736" w:rsidRDefault="00D21736" w:rsidP="004F645C">
      <w:pPr>
        <w:tabs>
          <w:tab w:val="left" w:pos="0"/>
        </w:tabs>
        <w:spacing w:after="120"/>
        <w:rPr>
          <w:rFonts w:ascii="Book Antiqua" w:hAnsi="Book Antiqua"/>
        </w:rPr>
      </w:pPr>
      <w:r>
        <w:rPr>
          <w:rFonts w:ascii="Book Antiqua" w:hAnsi="Book Antiqua"/>
        </w:rPr>
        <w:tab/>
        <w:t>In one of Fr. Lonergan’s most influential essays, he distinguished a classicist world-view from historical-mindedness.</w:t>
      </w:r>
      <w:r>
        <w:rPr>
          <w:rStyle w:val="FootnoteReference"/>
          <w:rFonts w:ascii="Book Antiqua" w:hAnsi="Book Antiqua"/>
        </w:rPr>
        <w:footnoteReference w:id="208"/>
      </w:r>
      <w:r w:rsidR="008C463C">
        <w:rPr>
          <w:rFonts w:ascii="Book Antiqua" w:hAnsi="Book Antiqua"/>
        </w:rPr>
        <w:t xml:space="preserve">  Of the former, he wrote:</w:t>
      </w:r>
    </w:p>
    <w:p w:rsidR="008C463C" w:rsidRPr="008C463C" w:rsidRDefault="008C463C" w:rsidP="008C463C">
      <w:pPr>
        <w:tabs>
          <w:tab w:val="left" w:pos="720"/>
        </w:tabs>
        <w:spacing w:after="120"/>
        <w:ind w:left="720" w:right="720"/>
        <w:rPr>
          <w:rFonts w:ascii="Book Antiqua" w:hAnsi="Book Antiqua"/>
          <w:sz w:val="20"/>
          <w:szCs w:val="20"/>
        </w:rPr>
      </w:pPr>
      <w:r>
        <w:rPr>
          <w:rFonts w:ascii="Book Antiqua" w:hAnsi="Book Antiqua"/>
          <w:sz w:val="20"/>
          <w:szCs w:val="20"/>
        </w:rPr>
        <w:t>If one abstracts from all respects in which one man can differ from another, there is left a residue named human nature and the truism that human nature is always the same.  One may fit out the eternal identity, human nature, with a natural law.  On</w:t>
      </w:r>
      <w:r w:rsidR="00A15359">
        <w:rPr>
          <w:rFonts w:ascii="Book Antiqua" w:hAnsi="Book Antiqua"/>
          <w:sz w:val="20"/>
          <w:szCs w:val="20"/>
        </w:rPr>
        <w:t>e</w:t>
      </w:r>
      <w:r>
        <w:rPr>
          <w:rFonts w:ascii="Book Antiqua" w:hAnsi="Book Antiqua"/>
          <w:sz w:val="20"/>
          <w:szCs w:val="20"/>
        </w:rPr>
        <w:t xml:space="preserve"> may</w:t>
      </w:r>
      <w:r w:rsidR="00A15359">
        <w:rPr>
          <w:rFonts w:ascii="Book Antiqua" w:hAnsi="Book Antiqua"/>
          <w:sz w:val="20"/>
          <w:szCs w:val="20"/>
        </w:rPr>
        <w:t xml:space="preserve"> complete it with the principles</w:t>
      </w:r>
      <w:r>
        <w:rPr>
          <w:rFonts w:ascii="Book Antiqua" w:hAnsi="Book Antiqua"/>
          <w:sz w:val="20"/>
          <w:szCs w:val="20"/>
        </w:rPr>
        <w:t xml:space="preserve"> for the erection of positive law.  One may hearken to divine revelation to acknowledge a supernatural order, a divine law, and a positive ecclesiastical law.  So one may work methodically from the abstract and universal towards the more concrete and particular, and the more one does so, the more one is involved in the casuistry of applying a variety of universals to concrete singularity.</w:t>
      </w:r>
      <w:r>
        <w:rPr>
          <w:rStyle w:val="FootnoteReference"/>
          <w:rFonts w:ascii="Book Antiqua" w:hAnsi="Book Antiqua"/>
          <w:sz w:val="20"/>
          <w:szCs w:val="20"/>
        </w:rPr>
        <w:footnoteReference w:id="209"/>
      </w:r>
    </w:p>
    <w:p w:rsidR="00A33DB6" w:rsidRDefault="00DB2533" w:rsidP="004F645C">
      <w:pPr>
        <w:tabs>
          <w:tab w:val="left" w:pos="0"/>
        </w:tabs>
        <w:spacing w:after="120"/>
        <w:rPr>
          <w:rFonts w:ascii="Book Antiqua" w:hAnsi="Book Antiqua"/>
        </w:rPr>
      </w:pPr>
      <w:r>
        <w:rPr>
          <w:rFonts w:ascii="Book Antiqua" w:hAnsi="Book Antiqua"/>
        </w:rPr>
        <w:t xml:space="preserve">Accusations of relativism come easily from this stance, but any such easy accusations are utterly dependent </w:t>
      </w:r>
      <w:r w:rsidRPr="0035588F">
        <w:rPr>
          <w:rFonts w:ascii="Book Antiqua" w:hAnsi="Book Antiqua"/>
          <w:i/>
        </w:rPr>
        <w:t>upon</w:t>
      </w:r>
      <w:r>
        <w:rPr>
          <w:rFonts w:ascii="Book Antiqua" w:hAnsi="Book Antiqua"/>
        </w:rPr>
        <w:t xml:space="preserve"> the stance.  They are relative to the assumption of a particular worldview.</w:t>
      </w:r>
    </w:p>
    <w:p w:rsidR="00DB2533" w:rsidRDefault="00DB2533" w:rsidP="004F645C">
      <w:pPr>
        <w:tabs>
          <w:tab w:val="left" w:pos="0"/>
        </w:tabs>
        <w:spacing w:after="120"/>
        <w:rPr>
          <w:rFonts w:ascii="Book Antiqua" w:hAnsi="Book Antiqua"/>
        </w:rPr>
      </w:pPr>
      <w:r>
        <w:rPr>
          <w:rFonts w:ascii="Book Antiqua" w:hAnsi="Book Antiqua"/>
        </w:rPr>
        <w:tab/>
        <w:t>But there is another option:  “One can begin from people as they are.”</w:t>
      </w:r>
      <w:r>
        <w:rPr>
          <w:rStyle w:val="FootnoteReference"/>
          <w:rFonts w:ascii="Book Antiqua" w:hAnsi="Book Antiqua"/>
        </w:rPr>
        <w:footnoteReference w:id="210"/>
      </w:r>
      <w:r>
        <w:rPr>
          <w:rFonts w:ascii="Book Antiqua" w:hAnsi="Book Antiqua"/>
        </w:rPr>
        <w:t xml:space="preserve">  From this divergent beginning, on</w:t>
      </w:r>
      <w:r w:rsidR="00A15359">
        <w:rPr>
          <w:rFonts w:ascii="Book Antiqua" w:hAnsi="Book Antiqua"/>
        </w:rPr>
        <w:t>e</w:t>
      </w:r>
      <w:r>
        <w:rPr>
          <w:rFonts w:ascii="Book Antiqua" w:hAnsi="Book Antiqua"/>
        </w:rPr>
        <w:t xml:space="preserve"> no longer apprehends the human abstractly through definitions that apply </w:t>
      </w:r>
      <w:r w:rsidRPr="00DB2533">
        <w:rPr>
          <w:rFonts w:ascii="Book Antiqua" w:hAnsi="Book Antiqua"/>
          <w:i/>
        </w:rPr>
        <w:t>omni et soli</w:t>
      </w:r>
      <w:r>
        <w:rPr>
          <w:rFonts w:ascii="Book Antiqua" w:hAnsi="Book Antiqua"/>
        </w:rPr>
        <w:t>, necessarily verifiable in the human as such, which is an unchanging abstraction.  Beginning with the concrete,</w:t>
      </w:r>
    </w:p>
    <w:p w:rsidR="00DB2533" w:rsidRPr="00DB2533" w:rsidRDefault="000F5966" w:rsidP="00DB2533">
      <w:pPr>
        <w:tabs>
          <w:tab w:val="left" w:pos="720"/>
        </w:tabs>
        <w:spacing w:after="120"/>
        <w:ind w:left="720" w:right="720"/>
        <w:rPr>
          <w:rFonts w:ascii="Book Antiqua" w:hAnsi="Book Antiqua"/>
          <w:sz w:val="20"/>
          <w:szCs w:val="20"/>
        </w:rPr>
      </w:pPr>
      <w:r>
        <w:rPr>
          <w:rFonts w:ascii="Book Antiqua" w:hAnsi="Book Antiqua"/>
          <w:sz w:val="20"/>
          <w:szCs w:val="20"/>
        </w:rPr>
        <w:t>o</w:t>
      </w:r>
      <w:r w:rsidR="00DB2533">
        <w:rPr>
          <w:rFonts w:ascii="Book Antiqua" w:hAnsi="Book Antiqua"/>
          <w:sz w:val="20"/>
          <w:szCs w:val="20"/>
        </w:rPr>
        <w:t>ne can apprehend mankind as a concrete aggregate developing over time, where the locus of development and, so to speak, the synthetic bond is the emergence, expansion, differentiation, dialectic of meaning and of meaningful performance.  On this view intentionality, meaning, is a constitutive component of human living; moreover, this component is not fixed, static, immutable, but shifting, developing, going astray, capable of redemption; on this view there is in the historicity, which results from human nature, an exigence for changing forms, structures, methods; and it is on this level and through this medium of changing meaning that divine revelation has entered the world and that the Church’s witness is given to it.</w:t>
      </w:r>
      <w:r w:rsidR="00DB2533">
        <w:rPr>
          <w:rStyle w:val="FootnoteReference"/>
          <w:rFonts w:ascii="Book Antiqua" w:hAnsi="Book Antiqua"/>
          <w:sz w:val="20"/>
          <w:szCs w:val="20"/>
        </w:rPr>
        <w:footnoteReference w:id="211"/>
      </w:r>
    </w:p>
    <w:p w:rsidR="00A33DB6" w:rsidRDefault="00E03E00" w:rsidP="004F645C">
      <w:pPr>
        <w:tabs>
          <w:tab w:val="left" w:pos="0"/>
        </w:tabs>
        <w:spacing w:after="120"/>
        <w:rPr>
          <w:rFonts w:ascii="Book Antiqua" w:hAnsi="Book Antiqua"/>
        </w:rPr>
      </w:pPr>
      <w:r>
        <w:rPr>
          <w:rFonts w:ascii="Book Antiqua" w:hAnsi="Book Antiqua"/>
        </w:rPr>
        <w:t>Refusing to make a judgment in the concrete, here and now, in this particular situation, when all evidence demands it, may well constitute relativism.  But making a judgment in the abstract, always and everywhere, without regard to concrete reality, with potential evidence needing to be either ignored or suppressed, is absolutism.</w:t>
      </w:r>
    </w:p>
    <w:p w:rsidR="005E4958" w:rsidRDefault="005E4958" w:rsidP="004F645C">
      <w:pPr>
        <w:tabs>
          <w:tab w:val="left" w:pos="0"/>
        </w:tabs>
        <w:spacing w:after="120"/>
        <w:rPr>
          <w:rFonts w:ascii="Book Antiqua" w:hAnsi="Book Antiqua"/>
        </w:rPr>
      </w:pPr>
      <w:r>
        <w:rPr>
          <w:rFonts w:ascii="Book Antiqua" w:hAnsi="Book Antiqua"/>
        </w:rPr>
        <w:lastRenderedPageBreak/>
        <w:tab/>
        <w:t xml:space="preserve">Culture constitutes a set of </w:t>
      </w:r>
      <w:r w:rsidR="0010432C" w:rsidRPr="0010432C">
        <w:rPr>
          <w:rFonts w:ascii="Book Antiqua" w:hAnsi="Book Antiqua"/>
          <w:i/>
        </w:rPr>
        <w:t>meaning</w:t>
      </w:r>
      <w:r w:rsidR="0010432C">
        <w:rPr>
          <w:rFonts w:ascii="Book Antiqua" w:hAnsi="Book Antiqua"/>
        </w:rPr>
        <w:t xml:space="preserve">ful </w:t>
      </w:r>
      <w:r>
        <w:rPr>
          <w:rFonts w:ascii="Book Antiqua" w:hAnsi="Book Antiqua"/>
        </w:rPr>
        <w:t>solutions to the widely varied problems of living that emerge in human societies.  And as those problems are concrete, so, too, the solutions.  There are always residual ‘problems’ that we haven’t ‘solved’ very well.  Emergent in our time and place is a gnawing realization that we haven’t ‘solved’ the ‘problem’ of homosexuality very well.  Indeed, the question has emerged as to whether regarding it as a ‘problem’ may be at the very heart of why our cultural ‘solutions’ have so inhibited human flourishing, indeed, have caused so much human hurt and pain.</w:t>
      </w:r>
      <w:r w:rsidR="00180872">
        <w:rPr>
          <w:rFonts w:ascii="Book Antiqua" w:hAnsi="Book Antiqua"/>
        </w:rPr>
        <w:t xml:space="preserve">  One of the most striking things about social scientific literature about this question is the fact that it does seem true that a whole host of psychological disorders were attendant upon homosexual inclination a relatively short time ago; an even more striking thing is that this simply is not true</w:t>
      </w:r>
      <w:r w:rsidR="00A15359">
        <w:rPr>
          <w:rFonts w:ascii="Book Antiqua" w:hAnsi="Book Antiqua"/>
        </w:rPr>
        <w:t xml:space="preserve"> any longer</w:t>
      </w:r>
      <w:r w:rsidR="00180872">
        <w:rPr>
          <w:rFonts w:ascii="Book Antiqua" w:hAnsi="Book Antiqua"/>
        </w:rPr>
        <w:t xml:space="preserve">.  Those psychological disorders did not emerge necessarily from psychosexual orientation itself, but from the very cultural meanings </w:t>
      </w:r>
      <w:r w:rsidR="00A15359">
        <w:rPr>
          <w:rFonts w:ascii="Book Antiqua" w:hAnsi="Book Antiqua"/>
        </w:rPr>
        <w:t xml:space="preserve">that had been </w:t>
      </w:r>
      <w:r w:rsidR="00180872">
        <w:rPr>
          <w:rFonts w:ascii="Book Antiqua" w:hAnsi="Book Antiqua"/>
        </w:rPr>
        <w:t>attached to such orientation.  And this has both theological and pastoral implications.</w:t>
      </w:r>
    </w:p>
    <w:p w:rsidR="00180872" w:rsidRPr="00180872" w:rsidRDefault="00180872" w:rsidP="00180872">
      <w:pPr>
        <w:tabs>
          <w:tab w:val="left" w:pos="720"/>
        </w:tabs>
        <w:spacing w:after="120"/>
        <w:ind w:left="720" w:right="720"/>
        <w:rPr>
          <w:rFonts w:ascii="Book Antiqua" w:hAnsi="Book Antiqua"/>
          <w:sz w:val="20"/>
          <w:szCs w:val="20"/>
        </w:rPr>
      </w:pPr>
      <w:r>
        <w:rPr>
          <w:rFonts w:ascii="Book Antiqua" w:hAnsi="Book Antiqua"/>
          <w:sz w:val="20"/>
          <w:szCs w:val="20"/>
        </w:rPr>
        <w:t xml:space="preserve">It does not take much imagination to understand how much heterosexual activity would tend to be dehumanized and compulsive if heterosexual liaisons were considered illegal and criminal by the state and </w:t>
      </w:r>
      <w:r w:rsidR="00F34224">
        <w:rPr>
          <w:rFonts w:ascii="Book Antiqua" w:hAnsi="Book Antiqua"/>
          <w:sz w:val="20"/>
          <w:szCs w:val="20"/>
        </w:rPr>
        <w:t xml:space="preserve">the </w:t>
      </w:r>
      <w:r>
        <w:rPr>
          <w:rFonts w:ascii="Book Antiqua" w:hAnsi="Book Antiqua"/>
          <w:sz w:val="20"/>
          <w:szCs w:val="20"/>
        </w:rPr>
        <w:t xml:space="preserve">effect of sin by the Church.  As we have seen, the insistence on the objective sinfulness of all homosexual relationships is precisely the type of moral thinking that psychologically destroys the ability of many homosexuals to enter into a permanent and fruitful relationship.  </w:t>
      </w:r>
      <w:r w:rsidR="00B40902">
        <w:rPr>
          <w:rFonts w:ascii="Book Antiqua" w:hAnsi="Book Antiqua"/>
          <w:sz w:val="20"/>
          <w:szCs w:val="20"/>
        </w:rPr>
        <w:t>The only certain substantive conclusion that follows from the scientific data is the terrible cost in terms of human suffering and degradation that has followed on the mistaken moral judgments and prejudices of the past which still are invoked to support the prejudices of the present.</w:t>
      </w:r>
      <w:r w:rsidR="00B40902">
        <w:rPr>
          <w:rStyle w:val="FootnoteReference"/>
          <w:rFonts w:ascii="Book Antiqua" w:hAnsi="Book Antiqua"/>
          <w:sz w:val="20"/>
          <w:szCs w:val="20"/>
        </w:rPr>
        <w:footnoteReference w:id="212"/>
      </w:r>
    </w:p>
    <w:p w:rsidR="00A33DB6" w:rsidRDefault="00B40902" w:rsidP="004F645C">
      <w:pPr>
        <w:tabs>
          <w:tab w:val="left" w:pos="0"/>
        </w:tabs>
        <w:spacing w:after="120"/>
        <w:rPr>
          <w:rFonts w:ascii="Book Antiqua" w:hAnsi="Book Antiqua"/>
        </w:rPr>
      </w:pPr>
      <w:r>
        <w:rPr>
          <w:rFonts w:ascii="Book Antiqua" w:hAnsi="Book Antiqua"/>
        </w:rPr>
        <w:t>Those who think differently than you do on this matter are not trying “to eliminate the need for marriage altogether,” as you have asserted.</w:t>
      </w:r>
      <w:r>
        <w:rPr>
          <w:rStyle w:val="FootnoteReference"/>
          <w:rFonts w:ascii="Book Antiqua" w:hAnsi="Book Antiqua"/>
        </w:rPr>
        <w:footnoteReference w:id="213"/>
      </w:r>
      <w:r>
        <w:rPr>
          <w:rFonts w:ascii="Book Antiqua" w:hAnsi="Book Antiqua"/>
        </w:rPr>
        <w:t xml:space="preserve">  They are simply engaging in the concrete judgment that our sociocultural so</w:t>
      </w:r>
      <w:r w:rsidR="00866178">
        <w:rPr>
          <w:rFonts w:ascii="Book Antiqua" w:hAnsi="Book Antiqua"/>
        </w:rPr>
        <w:t xml:space="preserve">lutions have proven problematic, and, accordingly, that solutions to the very problems that we have caused are called for.  They are </w:t>
      </w:r>
      <w:r w:rsidR="0035588F">
        <w:rPr>
          <w:rFonts w:ascii="Book Antiqua" w:hAnsi="Book Antiqua"/>
        </w:rPr>
        <w:t>simply</w:t>
      </w:r>
      <w:r w:rsidR="00866178">
        <w:rPr>
          <w:rFonts w:ascii="Book Antiqua" w:hAnsi="Book Antiqua"/>
        </w:rPr>
        <w:t xml:space="preserve"> making a judgment-in-history, which simply diverges from you</w:t>
      </w:r>
      <w:r w:rsidR="00F34224">
        <w:rPr>
          <w:rFonts w:ascii="Book Antiqua" w:hAnsi="Book Antiqua"/>
        </w:rPr>
        <w:t>r</w:t>
      </w:r>
      <w:r w:rsidR="00866178">
        <w:rPr>
          <w:rFonts w:ascii="Book Antiqua" w:hAnsi="Book Antiqua"/>
        </w:rPr>
        <w:t xml:space="preserve"> presumptive judgment-in-eternity.</w:t>
      </w:r>
    </w:p>
    <w:p w:rsidR="00A33DB6" w:rsidRDefault="00DA31F7" w:rsidP="004F645C">
      <w:pPr>
        <w:tabs>
          <w:tab w:val="left" w:pos="0"/>
        </w:tabs>
        <w:spacing w:after="120"/>
        <w:rPr>
          <w:rFonts w:ascii="Book Antiqua" w:hAnsi="Book Antiqua"/>
        </w:rPr>
      </w:pPr>
      <w:r>
        <w:rPr>
          <w:rFonts w:ascii="Book Antiqua" w:hAnsi="Book Antiqua"/>
        </w:rPr>
        <w:tab/>
      </w:r>
      <w:r w:rsidR="005C68FA">
        <w:rPr>
          <w:rFonts w:ascii="Book Antiqua" w:hAnsi="Book Antiqua"/>
        </w:rPr>
        <w:t xml:space="preserve">But, of course, ‘culture’ itself is a pretty generic notion, and, for most of us, cultural meanings and values are mediated through a more particular, and more intimate, grouping.  Here again I come so close to agreeing with Pope John Paul, Cardinal Scola, and you, that I end up disagreeing entirely.  Commenting extensively on </w:t>
      </w:r>
      <w:r w:rsidR="005C68FA" w:rsidRPr="005C68FA">
        <w:rPr>
          <w:rFonts w:ascii="Book Antiqua" w:hAnsi="Book Antiqua"/>
          <w:i/>
        </w:rPr>
        <w:t>Familiaris Consortio</w:t>
      </w:r>
      <w:r w:rsidR="005C68FA">
        <w:rPr>
          <w:rFonts w:ascii="Book Antiqua" w:hAnsi="Book Antiqua"/>
        </w:rPr>
        <w:t xml:space="preserve">, Cardinal Scola devotes about half his book to consideration of </w:t>
      </w:r>
      <w:r w:rsidR="00A93792">
        <w:rPr>
          <w:rFonts w:ascii="Book Antiqua" w:hAnsi="Book Antiqua"/>
        </w:rPr>
        <w:t>‘</w:t>
      </w:r>
      <w:r w:rsidR="005C68FA" w:rsidRPr="005C10DE">
        <w:rPr>
          <w:rFonts w:ascii="Book Antiqua" w:hAnsi="Book Antiqua"/>
        </w:rPr>
        <w:t>the</w:t>
      </w:r>
      <w:r w:rsidR="005C68FA">
        <w:rPr>
          <w:rFonts w:ascii="Book Antiqua" w:hAnsi="Book Antiqua"/>
        </w:rPr>
        <w:t xml:space="preserve"> family.</w:t>
      </w:r>
      <w:r w:rsidR="00A93792">
        <w:rPr>
          <w:rFonts w:ascii="Book Antiqua" w:hAnsi="Book Antiqua"/>
        </w:rPr>
        <w:t>’</w:t>
      </w:r>
      <w:r w:rsidR="005C68FA">
        <w:rPr>
          <w:rFonts w:ascii="Book Antiqua" w:hAnsi="Book Antiqua"/>
        </w:rPr>
        <w:t xml:space="preserve">  It is here that we are schooled in meanings and values, and that schooling lasts a lifetime and beyond. </w:t>
      </w:r>
      <w:r w:rsidR="005211F5">
        <w:rPr>
          <w:rFonts w:ascii="Book Antiqua" w:hAnsi="Book Antiqua"/>
        </w:rPr>
        <w:t xml:space="preserve"> Problematic, of course, is the</w:t>
      </w:r>
      <w:r w:rsidR="005C68FA">
        <w:rPr>
          <w:rFonts w:ascii="Book Antiqua" w:hAnsi="Book Antiqua"/>
        </w:rPr>
        <w:t xml:space="preserve"> stubborn fact that we aren’t schooled in ‘</w:t>
      </w:r>
      <w:r w:rsidR="005C68FA" w:rsidRPr="00A93792">
        <w:rPr>
          <w:rFonts w:ascii="Book Antiqua" w:hAnsi="Book Antiqua"/>
          <w:i/>
        </w:rPr>
        <w:t>the</w:t>
      </w:r>
      <w:r w:rsidR="005C68FA">
        <w:rPr>
          <w:rFonts w:ascii="Book Antiqua" w:hAnsi="Book Antiqua"/>
        </w:rPr>
        <w:t xml:space="preserve"> family,’ at all; we are schooled in ‘</w:t>
      </w:r>
      <w:r w:rsidR="005C68FA" w:rsidRPr="005211F5">
        <w:rPr>
          <w:rFonts w:ascii="Book Antiqua" w:hAnsi="Book Antiqua"/>
          <w:i/>
        </w:rPr>
        <w:t>our</w:t>
      </w:r>
      <w:r w:rsidR="005C68FA">
        <w:rPr>
          <w:rFonts w:ascii="Book Antiqua" w:hAnsi="Book Antiqua"/>
        </w:rPr>
        <w:t xml:space="preserve"> famil</w:t>
      </w:r>
      <w:r w:rsidR="005C68FA" w:rsidRPr="00A93792">
        <w:rPr>
          <w:rFonts w:ascii="Book Antiqua" w:hAnsi="Book Antiqua"/>
          <w:i/>
        </w:rPr>
        <w:t>ies</w:t>
      </w:r>
      <w:r w:rsidR="005C68FA">
        <w:rPr>
          <w:rFonts w:ascii="Book Antiqua" w:hAnsi="Book Antiqua"/>
        </w:rPr>
        <w:t>.’</w:t>
      </w:r>
    </w:p>
    <w:p w:rsidR="00A33DB6" w:rsidRDefault="005211F5" w:rsidP="004F645C">
      <w:pPr>
        <w:tabs>
          <w:tab w:val="left" w:pos="0"/>
        </w:tabs>
        <w:spacing w:after="120"/>
        <w:rPr>
          <w:rFonts w:ascii="Book Antiqua" w:hAnsi="Book Antiqua"/>
        </w:rPr>
      </w:pPr>
      <w:r>
        <w:rPr>
          <w:rFonts w:ascii="Book Antiqua" w:hAnsi="Book Antiqua"/>
        </w:rPr>
        <w:lastRenderedPageBreak/>
        <w:tab/>
        <w:t xml:space="preserve">Charlie Brown long ago insisted:  “I love humanity.  It’s people I can’t stand.”  Similarly, </w:t>
      </w:r>
      <w:r w:rsidR="00367AE5">
        <w:rPr>
          <w:rFonts w:ascii="Book Antiqua" w:hAnsi="Book Antiqua"/>
        </w:rPr>
        <w:t xml:space="preserve">while </w:t>
      </w:r>
      <w:r>
        <w:rPr>
          <w:rFonts w:ascii="Book Antiqua" w:hAnsi="Book Antiqua"/>
        </w:rPr>
        <w:t>Cardinal Scola</w:t>
      </w:r>
      <w:r w:rsidR="00367AE5">
        <w:rPr>
          <w:rFonts w:ascii="Book Antiqua" w:hAnsi="Book Antiqua"/>
        </w:rPr>
        <w:t xml:space="preserve"> professes his love for ‘the family,’ he</w:t>
      </w:r>
      <w:r>
        <w:rPr>
          <w:rFonts w:ascii="Book Antiqua" w:hAnsi="Book Antiqua"/>
        </w:rPr>
        <w:t xml:space="preserve"> seems to detest a lot of ‘our families,’ as, I sense, do you.  And, to be sure, if you’re looking for Platonic ideals, a lot of our families leave a lot to be desired.  They remain, though, the primary place where love happens, and we would do well to attend to that happening.</w:t>
      </w:r>
    </w:p>
    <w:p w:rsidR="005211F5" w:rsidRDefault="005211F5" w:rsidP="004F645C">
      <w:pPr>
        <w:tabs>
          <w:tab w:val="left" w:pos="0"/>
        </w:tabs>
        <w:spacing w:after="120"/>
        <w:rPr>
          <w:rFonts w:ascii="Book Antiqua" w:hAnsi="Book Antiqua"/>
        </w:rPr>
      </w:pPr>
      <w:r>
        <w:rPr>
          <w:rFonts w:ascii="Book Antiqua" w:hAnsi="Book Antiqua"/>
        </w:rPr>
        <w:tab/>
        <w:t>If one wants insight into the impact of ‘traditional family values’ on gay persons, it seems, then, that one would want to listen to their families.</w:t>
      </w:r>
      <w:r w:rsidR="00AB6B9E">
        <w:rPr>
          <w:rFonts w:ascii="Book Antiqua" w:hAnsi="Book Antiqua"/>
        </w:rPr>
        <w:t xml:space="preserve">  Here, I owe you for drawing my attention a few years back to Carole and Robert Curoe’s little book, </w:t>
      </w:r>
      <w:r w:rsidR="00AB6B9E" w:rsidRPr="00AB6B9E">
        <w:rPr>
          <w:rFonts w:ascii="Book Antiqua" w:hAnsi="Book Antiqua"/>
          <w:i/>
        </w:rPr>
        <w:t>Are There Closets in Heaven?</w:t>
      </w:r>
      <w:r w:rsidR="00AB6B9E">
        <w:rPr>
          <w:rStyle w:val="FootnoteReference"/>
          <w:rFonts w:ascii="Book Antiqua" w:hAnsi="Book Antiqua"/>
        </w:rPr>
        <w:footnoteReference w:id="214"/>
      </w:r>
      <w:r w:rsidR="00AB6B9E">
        <w:rPr>
          <w:rFonts w:ascii="Book Antiqua" w:hAnsi="Book Antiqua"/>
          <w:i/>
        </w:rPr>
        <w:t xml:space="preserve">  </w:t>
      </w:r>
      <w:r w:rsidR="00AB6B9E">
        <w:rPr>
          <w:rFonts w:ascii="Book Antiqua" w:hAnsi="Book Antiqua"/>
        </w:rPr>
        <w:t xml:space="preserve">Stories such as theirs are key sources for </w:t>
      </w:r>
      <w:r w:rsidR="00000489">
        <w:rPr>
          <w:rFonts w:ascii="Book Antiqua" w:hAnsi="Book Antiqua"/>
        </w:rPr>
        <w:t xml:space="preserve">concrete </w:t>
      </w:r>
      <w:r w:rsidR="00AB6B9E">
        <w:rPr>
          <w:rFonts w:ascii="Book Antiqua" w:hAnsi="Book Antiqua"/>
        </w:rPr>
        <w:t>reflection on problems and solutions of cultural meaning.  They are not, by any means, the only source, the only stories to which we should listen.  But there is something profoundly wrong with trying to suppress such a story, trying to prevent it from being heard.</w:t>
      </w:r>
      <w:r w:rsidR="000577E4">
        <w:rPr>
          <w:rFonts w:ascii="Book Antiqua" w:hAnsi="Book Antiqua"/>
        </w:rPr>
        <w:t xml:space="preserve">  Such suppression seems rooted in fear, and that fear is perhaps not unwarranted.  If people were to look at the Curoes, on the one hand, and at you, on the other, and</w:t>
      </w:r>
      <w:r w:rsidR="000C6FC7">
        <w:rPr>
          <w:rFonts w:ascii="Book Antiqua" w:hAnsi="Book Antiqua"/>
        </w:rPr>
        <w:t xml:space="preserve"> ask themselves, ‘where are the Pauline fruits of charity </w:t>
      </w:r>
      <w:r w:rsidR="000577E4">
        <w:rPr>
          <w:rFonts w:ascii="Book Antiqua" w:hAnsi="Book Antiqua"/>
        </w:rPr>
        <w:t>in all this?,’ you may well be right to fear the answer that would likely emerge.  But at least be honest and admit the root of your terror.</w:t>
      </w:r>
      <w:r w:rsidR="0094770A">
        <w:rPr>
          <w:rStyle w:val="FootnoteReference"/>
          <w:rFonts w:ascii="Book Antiqua" w:hAnsi="Book Antiqua"/>
        </w:rPr>
        <w:footnoteReference w:id="215"/>
      </w:r>
    </w:p>
    <w:p w:rsidR="00705F96" w:rsidRDefault="006F3920" w:rsidP="004F645C">
      <w:pPr>
        <w:tabs>
          <w:tab w:val="left" w:pos="0"/>
        </w:tabs>
        <w:spacing w:after="120"/>
        <w:rPr>
          <w:rFonts w:ascii="Book Antiqua" w:hAnsi="Book Antiqua"/>
        </w:rPr>
      </w:pPr>
      <w:r>
        <w:rPr>
          <w:rFonts w:ascii="Book Antiqua" w:hAnsi="Book Antiqua"/>
        </w:rPr>
        <w:tab/>
        <w:t xml:space="preserve">Is such love natural?  It all depends on what one means by </w:t>
      </w:r>
      <w:r w:rsidR="00705F96">
        <w:rPr>
          <w:rFonts w:ascii="Book Antiqua" w:hAnsi="Book Antiqua"/>
        </w:rPr>
        <w:t>‘</w:t>
      </w:r>
      <w:r w:rsidR="00FD0D8F">
        <w:rPr>
          <w:rFonts w:ascii="Book Antiqua" w:hAnsi="Book Antiqua"/>
        </w:rPr>
        <w:t>nature,’ and I have simply suggested four steps in the consideration of ‘natural’ meaning:</w:t>
      </w:r>
    </w:p>
    <w:p w:rsidR="00705F96" w:rsidRDefault="00705F96" w:rsidP="004F645C">
      <w:pPr>
        <w:tabs>
          <w:tab w:val="left" w:pos="0"/>
        </w:tabs>
        <w:spacing w:after="120"/>
        <w:rPr>
          <w:rFonts w:ascii="Book Antiqua" w:hAnsi="Book Antiqua"/>
        </w:rPr>
      </w:pPr>
      <w:r>
        <w:rPr>
          <w:rFonts w:ascii="Book Antiqua" w:hAnsi="Book Antiqua"/>
        </w:rPr>
        <w:tab/>
      </w:r>
      <w:r w:rsidR="00FD0D8F">
        <w:rPr>
          <w:rFonts w:ascii="Book Antiqua" w:hAnsi="Book Antiqua"/>
        </w:rPr>
        <w:t xml:space="preserve">(1) </w:t>
      </w:r>
      <w:r>
        <w:rPr>
          <w:rFonts w:ascii="Book Antiqua" w:hAnsi="Book Antiqua"/>
        </w:rPr>
        <w:t>The first considered notion of the ‘natural’ was essentially the perspective of common sense.</w:t>
      </w:r>
      <w:r w:rsidR="00FC7872">
        <w:rPr>
          <w:rFonts w:ascii="Book Antiqua" w:hAnsi="Book Antiqua"/>
        </w:rPr>
        <w:t xml:space="preserve">  What seems natural to people-who-think-like-me is regarded as the only way of being natural.  Considering this through the lens of race gave concreteness to what I mean, but may well have given the impression that I identify this erroneous notion of nature solely with what is considered the ‘conservative’ position on the current question.  That isn’t my intention.  Most of us operate on the basis of common sense judgments most of the time.  ‘Co</w:t>
      </w:r>
      <w:r w:rsidR="00473F20">
        <w:rPr>
          <w:rFonts w:ascii="Book Antiqua" w:hAnsi="Book Antiqua"/>
        </w:rPr>
        <w:t>mmon sense’ is nothing more than</w:t>
      </w:r>
      <w:r w:rsidR="00FC7872">
        <w:rPr>
          <w:rFonts w:ascii="Book Antiqua" w:hAnsi="Book Antiqua"/>
        </w:rPr>
        <w:t xml:space="preserve"> the ‘sense’ that is </w:t>
      </w:r>
      <w:r w:rsidR="00F37208">
        <w:rPr>
          <w:rFonts w:ascii="Book Antiqua" w:hAnsi="Book Antiqua"/>
        </w:rPr>
        <w:t>‘</w:t>
      </w:r>
      <w:r w:rsidR="00FC7872">
        <w:rPr>
          <w:rFonts w:ascii="Book Antiqua" w:hAnsi="Book Antiqua"/>
        </w:rPr>
        <w:t>common</w:t>
      </w:r>
      <w:r w:rsidR="00F37208">
        <w:rPr>
          <w:rFonts w:ascii="Book Antiqua" w:hAnsi="Book Antiqua"/>
        </w:rPr>
        <w:t>’</w:t>
      </w:r>
      <w:r w:rsidR="00FC7872">
        <w:rPr>
          <w:rFonts w:ascii="Book Antiqua" w:hAnsi="Book Antiqua"/>
        </w:rPr>
        <w:t xml:space="preserve"> to people-who-think-like-me, and there are very diverse brands of common sense.  ‘Liberals’ are every bit as prone as ‘conservatives’ to render such judgments simply because people-who-think-like-them think-that-way.  A recent social analysis contends that, as a society, we are becoming ev</w:t>
      </w:r>
      <w:r w:rsidR="00C426CF">
        <w:rPr>
          <w:rFonts w:ascii="Book Antiqua" w:hAnsi="Book Antiqua"/>
        </w:rPr>
        <w:t>en more prone to division simply on the basis of such presumed shared-judgments,</w:t>
      </w:r>
      <w:r w:rsidR="00C426CF">
        <w:rPr>
          <w:rStyle w:val="FootnoteReference"/>
          <w:rFonts w:ascii="Book Antiqua" w:hAnsi="Book Antiqua"/>
        </w:rPr>
        <w:footnoteReference w:id="216"/>
      </w:r>
      <w:r w:rsidR="00C426CF">
        <w:rPr>
          <w:rFonts w:ascii="Book Antiqua" w:hAnsi="Book Antiqua"/>
        </w:rPr>
        <w:t xml:space="preserve"> with like-minded people clustering in areas of the country, in sectored suburbs, and in parallel virtual space online.</w:t>
      </w:r>
      <w:r w:rsidR="004F0AA6">
        <w:rPr>
          <w:rFonts w:ascii="Book Antiqua" w:hAnsi="Book Antiqua"/>
        </w:rPr>
        <w:t xml:space="preserve">  We identify with people with </w:t>
      </w:r>
      <w:r w:rsidR="004F0AA6">
        <w:rPr>
          <w:rFonts w:ascii="Book Antiqua" w:hAnsi="Book Antiqua"/>
        </w:rPr>
        <w:lastRenderedPageBreak/>
        <w:t>whom we share judgments, and pretty soon our judgments become little more than reflections of that identification.  The problem is that common sense, as a way of ‘knowing,’ relates everything to me, to us, and isn’t able to consider realities themselves in their relations to each other.  Thus, ‘others’ tend to be judged precis</w:t>
      </w:r>
      <w:r w:rsidR="00627E9B">
        <w:rPr>
          <w:rFonts w:ascii="Book Antiqua" w:hAnsi="Book Antiqua"/>
        </w:rPr>
        <w:t>ely in and for their ‘otherness</w:t>
      </w:r>
      <w:r w:rsidR="004F0AA6">
        <w:rPr>
          <w:rFonts w:ascii="Book Antiqua" w:hAnsi="Book Antiqua"/>
        </w:rPr>
        <w:t>’</w:t>
      </w:r>
      <w:r w:rsidR="00627E9B">
        <w:rPr>
          <w:rFonts w:ascii="Book Antiqua" w:hAnsi="Book Antiqua"/>
        </w:rPr>
        <w:t xml:space="preserve"> vis-à-vis ‘us,’</w:t>
      </w:r>
      <w:r w:rsidR="004F0AA6">
        <w:rPr>
          <w:rFonts w:ascii="Book Antiqua" w:hAnsi="Book Antiqua"/>
        </w:rPr>
        <w:t xml:space="preserve"> without the possibility of consideration of their own ‘natures.’</w:t>
      </w:r>
    </w:p>
    <w:p w:rsidR="004F0AA6" w:rsidRDefault="004F0AA6" w:rsidP="004F645C">
      <w:pPr>
        <w:tabs>
          <w:tab w:val="left" w:pos="0"/>
        </w:tabs>
        <w:spacing w:after="120"/>
        <w:rPr>
          <w:rFonts w:ascii="Book Antiqua" w:hAnsi="Book Antiqua"/>
        </w:rPr>
      </w:pPr>
      <w:r>
        <w:rPr>
          <w:rFonts w:ascii="Book Antiqua" w:hAnsi="Book Antiqua"/>
        </w:rPr>
        <w:tab/>
      </w:r>
      <w:r w:rsidR="00FD0D8F">
        <w:rPr>
          <w:rFonts w:ascii="Book Antiqua" w:hAnsi="Book Antiqua"/>
        </w:rPr>
        <w:t xml:space="preserve">(2) </w:t>
      </w:r>
      <w:r>
        <w:rPr>
          <w:rFonts w:ascii="Book Antiqua" w:hAnsi="Book Antiqua"/>
        </w:rPr>
        <w:t>An Idealist turn, our second step, attempts to get beyond this through the adoption of a God’s-eye view.</w:t>
      </w:r>
      <w:r w:rsidR="00FD0D8F">
        <w:rPr>
          <w:rFonts w:ascii="Book Antiqua" w:hAnsi="Book Antiqua"/>
        </w:rPr>
        <w:t xml:space="preserve">  We can get beyond the particularities and peculiarities of our diverse common sense judgments by understanding the Eternal Reasons for things, and only in that way.  This isn’t really an attempt to understand nature at all, though; it essentially eliminates nature.  Proposed as the solution of hu</w:t>
      </w:r>
      <w:r w:rsidR="009025A4">
        <w:rPr>
          <w:rFonts w:ascii="Book Antiqua" w:hAnsi="Book Antiqua"/>
        </w:rPr>
        <w:t xml:space="preserve">man conundrums is Eternal or </w:t>
      </w:r>
      <w:r w:rsidR="00FD0D8F">
        <w:rPr>
          <w:rFonts w:ascii="Book Antiqua" w:hAnsi="Book Antiqua"/>
        </w:rPr>
        <w:t xml:space="preserve">Divine Law.  </w:t>
      </w:r>
      <w:r w:rsidR="00D930C7">
        <w:rPr>
          <w:rFonts w:ascii="Book Antiqua" w:hAnsi="Book Antiqua"/>
        </w:rPr>
        <w:t>‘</w:t>
      </w:r>
      <w:r w:rsidR="00FD0D8F">
        <w:rPr>
          <w:rFonts w:ascii="Book Antiqua" w:hAnsi="Book Antiqua"/>
        </w:rPr>
        <w:t>Nature</w:t>
      </w:r>
      <w:r w:rsidR="00D930C7">
        <w:rPr>
          <w:rFonts w:ascii="Book Antiqua" w:hAnsi="Book Antiqua"/>
        </w:rPr>
        <w:t>’</w:t>
      </w:r>
      <w:r w:rsidR="00FD0D8F">
        <w:rPr>
          <w:rFonts w:ascii="Book Antiqua" w:hAnsi="Book Antiqua"/>
        </w:rPr>
        <w:t xml:space="preserve"> is nothing more than a reflection of the mind of God.</w:t>
      </w:r>
      <w:r w:rsidR="00F11579">
        <w:rPr>
          <w:rFonts w:ascii="Book Antiqua" w:hAnsi="Book Antiqua"/>
        </w:rPr>
        <w:t xml:space="preserve">  Understandings of the Divine Mind, though, </w:t>
      </w:r>
      <w:r w:rsidR="006D1E2A">
        <w:rPr>
          <w:rFonts w:ascii="Book Antiqua" w:hAnsi="Book Antiqua"/>
        </w:rPr>
        <w:t xml:space="preserve">also </w:t>
      </w:r>
      <w:r w:rsidR="00F11579">
        <w:rPr>
          <w:rFonts w:ascii="Book Antiqua" w:hAnsi="Book Antiqua"/>
        </w:rPr>
        <w:t xml:space="preserve">tend to develop into clusters of </w:t>
      </w:r>
      <w:r w:rsidR="00FF7A51">
        <w:rPr>
          <w:rFonts w:ascii="Book Antiqua" w:hAnsi="Book Antiqua"/>
        </w:rPr>
        <w:t xml:space="preserve">like-minded </w:t>
      </w:r>
      <w:r w:rsidR="00F11579">
        <w:rPr>
          <w:rFonts w:ascii="Book Antiqua" w:hAnsi="Book Antiqua"/>
        </w:rPr>
        <w:t>persons, th</w:t>
      </w:r>
      <w:r w:rsidR="006D1E2A">
        <w:rPr>
          <w:rFonts w:ascii="Book Antiqua" w:hAnsi="Book Antiqua"/>
        </w:rPr>
        <w:t>ose</w:t>
      </w:r>
      <w:r w:rsidR="00F11579">
        <w:rPr>
          <w:rFonts w:ascii="Book Antiqua" w:hAnsi="Book Antiqua"/>
        </w:rPr>
        <w:t xml:space="preserve"> very clusters being determined by shared understandings of Eternal Reason.</w:t>
      </w:r>
      <w:r w:rsidR="006D1E2A">
        <w:rPr>
          <w:rFonts w:ascii="Book Antiqua" w:hAnsi="Book Antiqua"/>
        </w:rPr>
        <w:t xml:space="preserve">  And since there is no natural way to distinguish between the varied interpretations, it devolves upon Power to make such distinctions.  There are those who have Power-to-determine-what-God-thinks, and ‘nature’ is what they say it is.  </w:t>
      </w:r>
      <w:r w:rsidR="006D1E2A" w:rsidRPr="006D1E2A">
        <w:rPr>
          <w:rFonts w:ascii="Book Antiqua" w:hAnsi="Book Antiqua"/>
          <w:i/>
        </w:rPr>
        <w:t>Roma locuta, causa finita</w:t>
      </w:r>
      <w:r w:rsidR="006D1E2A">
        <w:rPr>
          <w:rFonts w:ascii="Book Antiqua" w:hAnsi="Book Antiqua"/>
        </w:rPr>
        <w:t>.</w:t>
      </w:r>
    </w:p>
    <w:p w:rsidR="006D1E2A" w:rsidRDefault="006D1E2A" w:rsidP="004F645C">
      <w:pPr>
        <w:tabs>
          <w:tab w:val="left" w:pos="0"/>
        </w:tabs>
        <w:spacing w:after="120"/>
        <w:rPr>
          <w:rFonts w:ascii="Book Antiqua" w:hAnsi="Book Antiqua"/>
        </w:rPr>
      </w:pPr>
      <w:r>
        <w:rPr>
          <w:rFonts w:ascii="Book Antiqua" w:hAnsi="Book Antiqua"/>
        </w:rPr>
        <w:tab/>
        <w:t>(3) There is a tradition of Catholic thinking dissatisfied with both of these options.</w:t>
      </w:r>
      <w:r w:rsidR="005752B7">
        <w:rPr>
          <w:rFonts w:ascii="Book Antiqua" w:hAnsi="Book Antiqua"/>
        </w:rPr>
        <w:t xml:space="preserve">  Rooted in real apprehension of Creator-creature relations, not simply notional apprehension, and in equally real assent to the natural reality of creaturehood, this tradition insists on the human capacity to understand the structured dynamisms of proportionate being, including human dynamisms in their very contingency, in a way that can get beyond the limited perspectives of common sense judgments, but without needing appeal to any God’s-eye view.</w:t>
      </w:r>
      <w:r w:rsidR="00450DE6">
        <w:rPr>
          <w:rFonts w:ascii="Book Antiqua" w:hAnsi="Book Antiqua"/>
        </w:rPr>
        <w:t xml:space="preserve">  We can understand things-in-their-relations-to-each-other</w:t>
      </w:r>
      <w:r w:rsidR="00F40B05">
        <w:rPr>
          <w:rFonts w:ascii="Book Antiqua" w:hAnsi="Book Antiqua"/>
        </w:rPr>
        <w:t xml:space="preserve"> (i.e., ‘nature’)</w:t>
      </w:r>
      <w:r w:rsidR="00450DE6">
        <w:rPr>
          <w:rFonts w:ascii="Book Antiqua" w:hAnsi="Book Antiqua"/>
        </w:rPr>
        <w:t>, not simply in their-relations-to-us (common sense), or in their relations-to-God (Idealism).</w:t>
      </w:r>
      <w:r w:rsidR="00F40B05">
        <w:rPr>
          <w:rFonts w:ascii="Book Antiqua" w:hAnsi="Book Antiqua"/>
        </w:rPr>
        <w:t xml:space="preserve">  There is no claim that this is easy.  And </w:t>
      </w:r>
      <w:r w:rsidR="00F40B05" w:rsidRPr="00F40B05">
        <w:rPr>
          <w:rFonts w:ascii="Book Antiqua" w:hAnsi="Book Antiqua"/>
          <w:i/>
        </w:rPr>
        <w:t>in via</w:t>
      </w:r>
      <w:r w:rsidR="00F40B05">
        <w:rPr>
          <w:rFonts w:ascii="Book Antiqua" w:hAnsi="Book Antiqua"/>
        </w:rPr>
        <w:t xml:space="preserve">, there are many oversights as well as insights, mistaken judgments as well as true.  </w:t>
      </w:r>
      <w:r w:rsidR="00136D8B">
        <w:rPr>
          <w:rFonts w:ascii="Book Antiqua" w:hAnsi="Book Antiqua"/>
        </w:rPr>
        <w:t>Profound pluralism results.  Som</w:t>
      </w:r>
      <w:r w:rsidR="00963B4F">
        <w:rPr>
          <w:rFonts w:ascii="Book Antiqua" w:hAnsi="Book Antiqua"/>
        </w:rPr>
        <w:t xml:space="preserve">e of this </w:t>
      </w:r>
      <w:r w:rsidR="00136D8B">
        <w:rPr>
          <w:rFonts w:ascii="Book Antiqua" w:hAnsi="Book Antiqua"/>
        </w:rPr>
        <w:t xml:space="preserve">results </w:t>
      </w:r>
      <w:r w:rsidR="00963B4F">
        <w:rPr>
          <w:rFonts w:ascii="Book Antiqua" w:hAnsi="Book Antiqua"/>
        </w:rPr>
        <w:t xml:space="preserve">(a) </w:t>
      </w:r>
      <w:r w:rsidR="00136D8B">
        <w:rPr>
          <w:rFonts w:ascii="Book Antiqua" w:hAnsi="Book Antiqua"/>
        </w:rPr>
        <w:t>simply from incompleteness of understanding – we are, after all, ‘pilgrims’ – w</w:t>
      </w:r>
      <w:r w:rsidR="00F63351">
        <w:rPr>
          <w:rFonts w:ascii="Book Antiqua" w:hAnsi="Book Antiqua"/>
        </w:rPr>
        <w:t>hile some results (b) from erroneous under-standings</w:t>
      </w:r>
      <w:r w:rsidR="00136D8B">
        <w:rPr>
          <w:rFonts w:ascii="Book Antiqua" w:hAnsi="Book Antiqua"/>
        </w:rPr>
        <w:t xml:space="preserve">, </w:t>
      </w:r>
      <w:r w:rsidR="00F63351">
        <w:rPr>
          <w:rFonts w:ascii="Book Antiqua" w:hAnsi="Book Antiqua"/>
        </w:rPr>
        <w:t>and some, perhaps, (c) from various forms of bias</w:t>
      </w:r>
      <w:r w:rsidR="00136D8B">
        <w:rPr>
          <w:rFonts w:ascii="Book Antiqua" w:hAnsi="Book Antiqua"/>
        </w:rPr>
        <w:t>.  And arguments must ensue about such ABCs.  But those arguments will not be effectively resolved by withdrawal to the certainties of either common sense o</w:t>
      </w:r>
      <w:r w:rsidR="00584FB1">
        <w:rPr>
          <w:rFonts w:ascii="Book Antiqua" w:hAnsi="Book Antiqua"/>
        </w:rPr>
        <w:t>r</w:t>
      </w:r>
      <w:r w:rsidR="00136D8B">
        <w:rPr>
          <w:rFonts w:ascii="Book Antiqua" w:hAnsi="Book Antiqua"/>
        </w:rPr>
        <w:t xml:space="preserve"> Eternal Reasons, however appealing and satisfying such certaint</w:t>
      </w:r>
      <w:r w:rsidR="00584FB1">
        <w:rPr>
          <w:rFonts w:ascii="Book Antiqua" w:hAnsi="Book Antiqua"/>
        </w:rPr>
        <w:t>ies</w:t>
      </w:r>
      <w:r w:rsidR="00136D8B">
        <w:rPr>
          <w:rFonts w:ascii="Book Antiqua" w:hAnsi="Book Antiqua"/>
        </w:rPr>
        <w:t xml:space="preserve"> may be.  Such withdrawal is merely a matter of spiritual </w:t>
      </w:r>
      <w:r w:rsidR="00136D8B" w:rsidRPr="00136D8B">
        <w:rPr>
          <w:rFonts w:ascii="Book Antiqua" w:hAnsi="Book Antiqua"/>
          <w:i/>
        </w:rPr>
        <w:t>coitus interruptus</w:t>
      </w:r>
      <w:r w:rsidR="00136D8B">
        <w:rPr>
          <w:rFonts w:ascii="Book Antiqua" w:hAnsi="Book Antiqua"/>
        </w:rPr>
        <w:t>.</w:t>
      </w:r>
    </w:p>
    <w:p w:rsidR="00584FB1" w:rsidRPr="00F40B05" w:rsidRDefault="00584FB1" w:rsidP="004F645C">
      <w:pPr>
        <w:tabs>
          <w:tab w:val="left" w:pos="0"/>
        </w:tabs>
        <w:spacing w:after="120"/>
        <w:rPr>
          <w:rFonts w:ascii="Book Antiqua" w:hAnsi="Book Antiqua"/>
        </w:rPr>
      </w:pPr>
      <w:r>
        <w:rPr>
          <w:rFonts w:ascii="Book Antiqua" w:hAnsi="Book Antiqua"/>
        </w:rPr>
        <w:tab/>
        <w:t xml:space="preserve">(4) Resources for engaging in this natural form of thinking are many.  I have identified two which seem parallel to St. Thomas’s engagement with Aristotle:  the natural sciences (e.g., evolutionary biology), and the human sciences (e.g., sociocultural anthropology).  A third, and primary, resource parallels St. Thomas’s engagement of his own natural inclinations.  In order for scientific </w:t>
      </w:r>
      <w:r w:rsidR="0007639F">
        <w:rPr>
          <w:rFonts w:ascii="Book Antiqua" w:hAnsi="Book Antiqua"/>
        </w:rPr>
        <w:t>inquiry to avoid its common and recurrent tendency to devolve into hardened theoretic conceptualism, there is needed foundational grasp of the very dynamism of human interiority.</w:t>
      </w:r>
      <w:r w:rsidR="0034039C">
        <w:rPr>
          <w:rFonts w:ascii="Book Antiqua" w:hAnsi="Book Antiqua"/>
        </w:rPr>
        <w:t xml:space="preserve">  And this must be not simply theoretical, but existential – not just notional, but real.  The heart of the matter, in short, is the ‘heart’ – flesh or stone, converted or closed, authentic or </w:t>
      </w:r>
      <w:r w:rsidR="0034039C">
        <w:rPr>
          <w:rFonts w:ascii="Book Antiqua" w:hAnsi="Book Antiqua"/>
        </w:rPr>
        <w:lastRenderedPageBreak/>
        <w:t>not.  And one of the ways towa</w:t>
      </w:r>
      <w:r w:rsidR="00D14F5A">
        <w:rPr>
          <w:rFonts w:ascii="Book Antiqua" w:hAnsi="Book Antiqua"/>
        </w:rPr>
        <w:t>rd our own authentic, converted</w:t>
      </w:r>
      <w:r w:rsidR="0034039C">
        <w:rPr>
          <w:rFonts w:ascii="Book Antiqua" w:hAnsi="Book Antiqua"/>
        </w:rPr>
        <w:t xml:space="preserve"> hearts of flesh, is listening to other hearts</w:t>
      </w:r>
      <w:r w:rsidR="002C1F1C">
        <w:rPr>
          <w:rFonts w:ascii="Book Antiqua" w:hAnsi="Book Antiqua"/>
        </w:rPr>
        <w:t xml:space="preserve"> in conversation</w:t>
      </w:r>
      <w:r w:rsidR="0034039C">
        <w:rPr>
          <w:rFonts w:ascii="Book Antiqua" w:hAnsi="Book Antiqua"/>
        </w:rPr>
        <w:t xml:space="preserve">:  </w:t>
      </w:r>
      <w:r w:rsidR="0034039C" w:rsidRPr="0034039C">
        <w:rPr>
          <w:rFonts w:ascii="Book Antiqua" w:hAnsi="Book Antiqua"/>
          <w:i/>
        </w:rPr>
        <w:t xml:space="preserve">cor </w:t>
      </w:r>
      <w:proofErr w:type="spellStart"/>
      <w:r w:rsidR="0034039C" w:rsidRPr="0034039C">
        <w:rPr>
          <w:rFonts w:ascii="Book Antiqua" w:hAnsi="Book Antiqua"/>
          <w:i/>
        </w:rPr>
        <w:t>ad</w:t>
      </w:r>
      <w:proofErr w:type="spellEnd"/>
      <w:r w:rsidR="0034039C" w:rsidRPr="0034039C">
        <w:rPr>
          <w:rFonts w:ascii="Book Antiqua" w:hAnsi="Book Antiqua"/>
          <w:i/>
        </w:rPr>
        <w:t xml:space="preserve"> cor loquitur</w:t>
      </w:r>
      <w:r w:rsidR="0034039C">
        <w:rPr>
          <w:rFonts w:ascii="Book Antiqua" w:hAnsi="Book Antiqua"/>
        </w:rPr>
        <w:t>.</w:t>
      </w:r>
    </w:p>
    <w:p w:rsidR="006F3920" w:rsidRDefault="00584FB1" w:rsidP="004F645C">
      <w:pPr>
        <w:tabs>
          <w:tab w:val="left" w:pos="0"/>
        </w:tabs>
        <w:spacing w:after="120"/>
        <w:rPr>
          <w:rFonts w:ascii="Book Antiqua" w:hAnsi="Book Antiqua"/>
        </w:rPr>
      </w:pPr>
      <w:r>
        <w:rPr>
          <w:rFonts w:ascii="Book Antiqua" w:hAnsi="Book Antiqua"/>
        </w:rPr>
        <w:tab/>
        <w:t>T</w:t>
      </w:r>
      <w:r w:rsidR="006F3920">
        <w:rPr>
          <w:rFonts w:ascii="Book Antiqua" w:hAnsi="Book Antiqua"/>
        </w:rPr>
        <w:t xml:space="preserve">his long mountainous climb has been clarifying, at least for me, of </w:t>
      </w:r>
      <w:r w:rsidR="008A4B26">
        <w:rPr>
          <w:rFonts w:ascii="Book Antiqua" w:hAnsi="Book Antiqua"/>
        </w:rPr>
        <w:t xml:space="preserve">what I judge to be </w:t>
      </w:r>
      <w:r w:rsidR="006F3920">
        <w:rPr>
          <w:rFonts w:ascii="Book Antiqua" w:hAnsi="Book Antiqua"/>
        </w:rPr>
        <w:t xml:space="preserve">the unnatural roots of many judgments of </w:t>
      </w:r>
      <w:r>
        <w:rPr>
          <w:rFonts w:ascii="Book Antiqua" w:hAnsi="Book Antiqua"/>
        </w:rPr>
        <w:t>human love, with some hints as to the way forward.</w:t>
      </w:r>
    </w:p>
    <w:p w:rsidR="006B3F88" w:rsidRDefault="006F3920" w:rsidP="004F645C">
      <w:pPr>
        <w:tabs>
          <w:tab w:val="left" w:pos="0"/>
        </w:tabs>
        <w:spacing w:after="120"/>
        <w:rPr>
          <w:rFonts w:ascii="Book Antiqua" w:hAnsi="Book Antiqua"/>
        </w:rPr>
      </w:pPr>
      <w:r>
        <w:rPr>
          <w:rFonts w:ascii="Book Antiqua" w:hAnsi="Book Antiqua"/>
        </w:rPr>
        <w:tab/>
      </w:r>
      <w:r>
        <w:rPr>
          <w:rFonts w:ascii="Book Antiqua" w:hAnsi="Book Antiqua"/>
          <w:u w:val="single"/>
        </w:rPr>
        <w:t xml:space="preserve">In the fourth instance, </w:t>
      </w:r>
      <w:r w:rsidR="006B3F88">
        <w:rPr>
          <w:rFonts w:ascii="Book Antiqua" w:hAnsi="Book Antiqua"/>
          <w:u w:val="single"/>
        </w:rPr>
        <w:t>as Catholics we will be likely to think in terms of analogy</w:t>
      </w:r>
      <w:r>
        <w:rPr>
          <w:rFonts w:ascii="Book Antiqua" w:hAnsi="Book Antiqua"/>
          <w:u w:val="single"/>
        </w:rPr>
        <w:t>.</w:t>
      </w:r>
      <w:r w:rsidR="006B3F88">
        <w:rPr>
          <w:rFonts w:ascii="Book Antiqua" w:hAnsi="Book Antiqua"/>
        </w:rPr>
        <w:t xml:space="preserve">  This will be true of persons approaching this question from many different perspectives.  I simply propose one manner of analogical thinking that opens a wider range of possibilities than you seem to allow, and I question another manner of analogical thinking used to narrow that range.</w:t>
      </w:r>
    </w:p>
    <w:p w:rsidR="006F3920" w:rsidRDefault="006B3F88" w:rsidP="004F645C">
      <w:pPr>
        <w:tabs>
          <w:tab w:val="left" w:pos="0"/>
        </w:tabs>
        <w:spacing w:after="120"/>
        <w:rPr>
          <w:rFonts w:ascii="Book Antiqua" w:hAnsi="Book Antiqua"/>
        </w:rPr>
      </w:pPr>
      <w:r>
        <w:rPr>
          <w:rFonts w:ascii="Book Antiqua" w:hAnsi="Book Antiqua"/>
        </w:rPr>
        <w:tab/>
      </w:r>
      <w:r w:rsidR="00912B73">
        <w:rPr>
          <w:rFonts w:ascii="Book Antiqua" w:hAnsi="Book Antiqua"/>
        </w:rPr>
        <w:t>It seems fairly tradition</w:t>
      </w:r>
      <w:r w:rsidR="00AC4B9C">
        <w:rPr>
          <w:rFonts w:ascii="Book Antiqua" w:hAnsi="Book Antiqua"/>
        </w:rPr>
        <w:t xml:space="preserve">al to distinguish </w:t>
      </w:r>
      <w:r w:rsidR="00912B73">
        <w:rPr>
          <w:rFonts w:ascii="Book Antiqua" w:hAnsi="Book Antiqua"/>
        </w:rPr>
        <w:t>two forms of analogical usage:  (i) as a comparative form of expression, and (ii) as a form of exploration and argument.</w:t>
      </w:r>
      <w:r w:rsidR="00912B73">
        <w:rPr>
          <w:rStyle w:val="FootnoteReference"/>
          <w:rFonts w:ascii="Book Antiqua" w:hAnsi="Book Antiqua"/>
        </w:rPr>
        <w:footnoteReference w:id="217"/>
      </w:r>
      <w:r w:rsidR="00912B73">
        <w:rPr>
          <w:rFonts w:ascii="Book Antiqua" w:hAnsi="Book Antiqua"/>
        </w:rPr>
        <w:t xml:space="preserve">  The two usages are distinct, but one might say they are ‘analogous’!  The former, using one better known reality as the basis for comparative understanding of another, is the foundation of Pope John Paul’s notion of nuptiality as co</w:t>
      </w:r>
      <w:r w:rsidR="00B327FB">
        <w:rPr>
          <w:rFonts w:ascii="Book Antiqua" w:hAnsi="Book Antiqua"/>
        </w:rPr>
        <w:t>nstitutive of human existence as</w:t>
      </w:r>
      <w:r w:rsidR="00912B73">
        <w:rPr>
          <w:rFonts w:ascii="Book Antiqua" w:hAnsi="Book Antiqua"/>
        </w:rPr>
        <w:t xml:space="preserve"> </w:t>
      </w:r>
      <w:r w:rsidR="00912B73" w:rsidRPr="00912B73">
        <w:rPr>
          <w:rFonts w:ascii="Book Antiqua" w:hAnsi="Book Antiqua"/>
          <w:i/>
        </w:rPr>
        <w:t>imago Dei</w:t>
      </w:r>
      <w:r w:rsidR="00912B73">
        <w:rPr>
          <w:rFonts w:ascii="Book Antiqua" w:hAnsi="Book Antiqua"/>
        </w:rPr>
        <w:t xml:space="preserve">, Cardinal Scola’s notion of heterosexual marriage </w:t>
      </w:r>
      <w:r w:rsidR="00AC4B9C">
        <w:rPr>
          <w:rFonts w:ascii="Book Antiqua" w:hAnsi="Book Antiqua"/>
        </w:rPr>
        <w:t xml:space="preserve">as </w:t>
      </w:r>
      <w:r w:rsidR="00912B73">
        <w:rPr>
          <w:rFonts w:ascii="Book Antiqua" w:hAnsi="Book Antiqua"/>
        </w:rPr>
        <w:t xml:space="preserve">the </w:t>
      </w:r>
      <w:r w:rsidR="00912B73" w:rsidRPr="00912B73">
        <w:rPr>
          <w:rFonts w:ascii="Book Antiqua" w:hAnsi="Book Antiqua"/>
          <w:i/>
        </w:rPr>
        <w:t>analogatum princeps</w:t>
      </w:r>
      <w:r w:rsidR="00912B73">
        <w:rPr>
          <w:rFonts w:ascii="Book Antiqua" w:hAnsi="Book Antiqua"/>
        </w:rPr>
        <w:t>.  It is with the latter</w:t>
      </w:r>
      <w:r w:rsidR="00AB1644">
        <w:rPr>
          <w:rFonts w:ascii="Book Antiqua" w:hAnsi="Book Antiqua"/>
        </w:rPr>
        <w:t xml:space="preserve"> usage</w:t>
      </w:r>
      <w:r w:rsidR="00912B73">
        <w:rPr>
          <w:rFonts w:ascii="Book Antiqua" w:hAnsi="Book Antiqua"/>
        </w:rPr>
        <w:t xml:space="preserve">, though, </w:t>
      </w:r>
      <w:r w:rsidR="00484CA9">
        <w:rPr>
          <w:rFonts w:ascii="Book Antiqua" w:hAnsi="Book Antiqua"/>
        </w:rPr>
        <w:t>analogy as a form of exploration, that I would like to begin.</w:t>
      </w:r>
    </w:p>
    <w:p w:rsidR="00484CA9" w:rsidRDefault="00484CA9" w:rsidP="004F645C">
      <w:pPr>
        <w:tabs>
          <w:tab w:val="left" w:pos="0"/>
        </w:tabs>
        <w:spacing w:after="120"/>
        <w:rPr>
          <w:rFonts w:ascii="Book Antiqua" w:hAnsi="Book Antiqua"/>
        </w:rPr>
      </w:pPr>
      <w:r>
        <w:rPr>
          <w:rFonts w:ascii="Book Antiqua" w:hAnsi="Book Antiqua"/>
        </w:rPr>
        <w:tab/>
        <w:t>Analogy, in this sense, “is a language of ordered relationships articulating similarity-in-difference.”</w:t>
      </w:r>
      <w:r>
        <w:rPr>
          <w:rStyle w:val="FootnoteReference"/>
          <w:rFonts w:ascii="Book Antiqua" w:hAnsi="Book Antiqua"/>
        </w:rPr>
        <w:footnoteReference w:id="218"/>
      </w:r>
      <w:r w:rsidR="00FD6FBA">
        <w:rPr>
          <w:rFonts w:ascii="Book Antiqua" w:hAnsi="Book Antiqua"/>
        </w:rPr>
        <w:t xml:space="preserve">  My simple suggestion is that one might attempt to understand heterosexual and homosexual loves as analogous, and that this would be a classically Catholic manner of approach.</w:t>
      </w:r>
      <w:r w:rsidR="00820573">
        <w:rPr>
          <w:rFonts w:ascii="Book Antiqua" w:hAnsi="Book Antiqua"/>
        </w:rPr>
        <w:t xml:space="preserve">  This would acknowledge the reality of similarities, the reality of differences, and </w:t>
      </w:r>
      <w:r w:rsidR="00703E4E">
        <w:rPr>
          <w:rFonts w:ascii="Book Antiqua" w:hAnsi="Book Antiqua"/>
        </w:rPr>
        <w:t>explore what insights might emerge on the basis of that dual acknowledgment.</w:t>
      </w:r>
    </w:p>
    <w:p w:rsidR="00B05CA5" w:rsidRPr="00912B73" w:rsidRDefault="00B05CA5" w:rsidP="004F645C">
      <w:pPr>
        <w:tabs>
          <w:tab w:val="left" w:pos="0"/>
        </w:tabs>
        <w:spacing w:after="120"/>
        <w:rPr>
          <w:rFonts w:ascii="Book Antiqua" w:hAnsi="Book Antiqua"/>
        </w:rPr>
      </w:pPr>
      <w:r>
        <w:rPr>
          <w:rFonts w:ascii="Book Antiqua" w:hAnsi="Book Antiqua"/>
        </w:rPr>
        <w:tab/>
        <w:t>My expectation is that such exploration would tend to displease partisans on both sides of our current divide.  ‘Liberals’ tend to be su</w:t>
      </w:r>
      <w:r w:rsidR="00675FF6">
        <w:rPr>
          <w:rFonts w:ascii="Book Antiqua" w:hAnsi="Book Antiqua"/>
        </w:rPr>
        <w:t>spicious of difference-language</w:t>
      </w:r>
      <w:r>
        <w:rPr>
          <w:rFonts w:ascii="Book Antiqua" w:hAnsi="Book Antiqua"/>
        </w:rPr>
        <w:t xml:space="preserve"> here, insisting that things are either the ‘same,’ or not the ‘same.’  They make much of diversity and pluralism, and yet ironically tend toward a social ‘sameness.’  </w:t>
      </w:r>
      <w:r w:rsidR="003C075C">
        <w:rPr>
          <w:rFonts w:ascii="Book Antiqua" w:hAnsi="Book Antiqua"/>
        </w:rPr>
        <w:t xml:space="preserve">Thus, the insistence on tolerance of social minorities, alongside a parallel insistence that everyone be treated ‘the same.’  In this regard, ‘conservatives’ seem a mirror image, insisting on </w:t>
      </w:r>
      <w:r w:rsidR="00EC3580">
        <w:rPr>
          <w:rFonts w:ascii="Book Antiqua" w:hAnsi="Book Antiqua"/>
        </w:rPr>
        <w:t>difference as total dissimilarity</w:t>
      </w:r>
      <w:r w:rsidR="003C075C">
        <w:rPr>
          <w:rFonts w:ascii="Book Antiqua" w:hAnsi="Book Antiqua"/>
        </w:rPr>
        <w:t>, with a parallel insistence on treating differently those who are different</w:t>
      </w:r>
      <w:r w:rsidR="009E4254">
        <w:rPr>
          <w:rFonts w:ascii="Book Antiqua" w:hAnsi="Book Antiqua"/>
        </w:rPr>
        <w:t xml:space="preserve"> from ‘us</w:t>
      </w:r>
      <w:r w:rsidR="003C075C">
        <w:rPr>
          <w:rFonts w:ascii="Book Antiqua" w:hAnsi="Book Antiqua"/>
        </w:rPr>
        <w:t>.</w:t>
      </w:r>
      <w:r w:rsidR="009E4254">
        <w:rPr>
          <w:rFonts w:ascii="Book Antiqua" w:hAnsi="Book Antiqua"/>
        </w:rPr>
        <w:t>’</w:t>
      </w:r>
    </w:p>
    <w:p w:rsidR="00776912" w:rsidRDefault="00603E4F" w:rsidP="004F645C">
      <w:pPr>
        <w:tabs>
          <w:tab w:val="left" w:pos="0"/>
        </w:tabs>
        <w:spacing w:after="120"/>
        <w:rPr>
          <w:rFonts w:ascii="Book Antiqua" w:hAnsi="Book Antiqua"/>
        </w:rPr>
      </w:pPr>
      <w:r>
        <w:rPr>
          <w:rFonts w:ascii="Book Antiqua" w:hAnsi="Book Antiqua"/>
        </w:rPr>
        <w:tab/>
        <w:t xml:space="preserve">It is my sensing this to be our situation that leaves me suspicious of any and all claims to some ‘counter-cultural’ stance.  The above-stated tension </w:t>
      </w:r>
      <w:r w:rsidRPr="00603E4F">
        <w:rPr>
          <w:rFonts w:ascii="Book Antiqua" w:hAnsi="Book Antiqua"/>
          <w:i/>
        </w:rPr>
        <w:t>is</w:t>
      </w:r>
      <w:r>
        <w:rPr>
          <w:rFonts w:ascii="Book Antiqua" w:hAnsi="Book Antiqua"/>
        </w:rPr>
        <w:t xml:space="preserve"> our culture.  Today’s conserva</w:t>
      </w:r>
      <w:r w:rsidR="0082459E">
        <w:rPr>
          <w:rFonts w:ascii="Book Antiqua" w:hAnsi="Book Antiqua"/>
        </w:rPr>
        <w:t>tive/ liberal divide has Puritan/</w:t>
      </w:r>
      <w:r>
        <w:rPr>
          <w:rFonts w:ascii="Book Antiqua" w:hAnsi="Book Antiqua"/>
        </w:rPr>
        <w:t xml:space="preserve">Transcendentalist roots.  America </w:t>
      </w:r>
      <w:r w:rsidRPr="00947E9F">
        <w:rPr>
          <w:rFonts w:ascii="Book Antiqua" w:hAnsi="Book Antiqua"/>
          <w:i/>
        </w:rPr>
        <w:t>is</w:t>
      </w:r>
      <w:r>
        <w:rPr>
          <w:rFonts w:ascii="Book Antiqua" w:hAnsi="Book Antiqua"/>
        </w:rPr>
        <w:t xml:space="preserve"> that dialectic, and long has been.</w:t>
      </w:r>
      <w:r w:rsidR="0045422D">
        <w:rPr>
          <w:rFonts w:ascii="Book Antiqua" w:hAnsi="Book Antiqua"/>
        </w:rPr>
        <w:t xml:space="preserve">  Show me someone claiming to take a counter-cultural stance, and my suspicion is that, if I look carefully, I will </w:t>
      </w:r>
      <w:r w:rsidR="00675FF6">
        <w:rPr>
          <w:rFonts w:ascii="Book Antiqua" w:hAnsi="Book Antiqua"/>
        </w:rPr>
        <w:t xml:space="preserve">usually just </w:t>
      </w:r>
      <w:r w:rsidR="0045422D">
        <w:rPr>
          <w:rFonts w:ascii="Book Antiqua" w:hAnsi="Book Antiqua"/>
        </w:rPr>
        <w:t xml:space="preserve">find someone firmly planted on one side of that cultural dialectic, simply ‘countering’ the other side, their very act of ‘countering’ constituting the very culture </w:t>
      </w:r>
      <w:r w:rsidR="00157A3E">
        <w:rPr>
          <w:rFonts w:ascii="Book Antiqua" w:hAnsi="Book Antiqua"/>
        </w:rPr>
        <w:lastRenderedPageBreak/>
        <w:t>they think themselves opposing</w:t>
      </w:r>
      <w:r w:rsidR="0045422D">
        <w:rPr>
          <w:rFonts w:ascii="Book Antiqua" w:hAnsi="Book Antiqua"/>
        </w:rPr>
        <w:t xml:space="preserve">.  </w:t>
      </w:r>
      <w:r w:rsidR="00947E9F">
        <w:rPr>
          <w:rFonts w:ascii="Book Antiqua" w:hAnsi="Book Antiqua"/>
        </w:rPr>
        <w:t>Transcendentalists countered Puritans, who gladly returned the favor.  Liberals and conservatives simply keep the blood-feud (a.k.a. ‘culture wars’) going.</w:t>
      </w:r>
    </w:p>
    <w:p w:rsidR="00947E9F" w:rsidRDefault="00947E9F" w:rsidP="004F645C">
      <w:pPr>
        <w:tabs>
          <w:tab w:val="left" w:pos="0"/>
        </w:tabs>
        <w:spacing w:after="120"/>
        <w:rPr>
          <w:rFonts w:ascii="Book Antiqua" w:hAnsi="Book Antiqua"/>
        </w:rPr>
      </w:pPr>
      <w:r>
        <w:rPr>
          <w:rFonts w:ascii="Book Antiqua" w:hAnsi="Book Antiqua"/>
        </w:rPr>
        <w:tab/>
        <w:t>Rather than joining in the culture-constituting countering, might we not suggest an alternative?</w:t>
      </w:r>
      <w:r w:rsidR="00B804BC">
        <w:rPr>
          <w:rFonts w:ascii="Book Antiqua" w:hAnsi="Book Antiqua"/>
        </w:rPr>
        <w:t xml:space="preserve">  </w:t>
      </w:r>
      <w:r w:rsidR="00C160FB">
        <w:rPr>
          <w:rFonts w:ascii="Book Antiqua" w:hAnsi="Book Antiqua"/>
        </w:rPr>
        <w:t>It seems that we Catholics long did that here, while we were outsiders to the whole cultural game.  Ethnic urban neighborhoods and labor unions were among our alternative contributions.  Now that we have ‘made it,’ though, we seem far more likely to join one team or the other, not to suggest a different game.  If the paucity of my knowledge of theology has been evident in many of the foregoing pages, any suggestion of insight into American social history on my part may well be laughable.  But I’ve never minded clowning around, so here goes.  It seems to me that we so tried to prove ourselves in the early days of the Cold War, that we signed up as foot soldiers in the ideology of National Security</w:t>
      </w:r>
      <w:r w:rsidR="006336DC">
        <w:rPr>
          <w:rFonts w:ascii="Book Antiqua" w:hAnsi="Book Antiqua"/>
        </w:rPr>
        <w:t xml:space="preserve"> – Cardinal Spellman b</w:t>
      </w:r>
      <w:r w:rsidR="00B847F9">
        <w:rPr>
          <w:rFonts w:ascii="Book Antiqua" w:hAnsi="Book Antiqua"/>
        </w:rPr>
        <w:t>lessing battleships</w:t>
      </w:r>
      <w:r w:rsidR="00AC4B9C">
        <w:rPr>
          <w:rFonts w:ascii="Book Antiqua" w:hAnsi="Book Antiqua"/>
        </w:rPr>
        <w:t>, J. Edgar Hoover recruiting his ‘Fordham men.’</w:t>
      </w:r>
      <w:r w:rsidR="006336DC">
        <w:rPr>
          <w:rFonts w:ascii="Book Antiqua" w:hAnsi="Book Antiqua"/>
        </w:rPr>
        <w:t xml:space="preserve">  The traditional Catholicism of Dorothy Day and J.F. Powers, who came to our fair state as a refugee from that ideology, came to seem quaint, if not downright embarrassing.  There followed the great Liberal causes, Civil Rights and opposition to our Indochina insanity.  And they were great causes, but there was perhaps too little that was uniquely Catholic in our following the Liberal lead</w:t>
      </w:r>
      <w:r w:rsidR="00AC4B9C">
        <w:rPr>
          <w:rFonts w:ascii="Book Antiqua" w:hAnsi="Book Antiqua"/>
        </w:rPr>
        <w:t xml:space="preserve"> – Fr. Berrigan having been a significa</w:t>
      </w:r>
      <w:r w:rsidR="0010432E">
        <w:rPr>
          <w:rFonts w:ascii="Book Antiqua" w:hAnsi="Book Antiqua"/>
        </w:rPr>
        <w:t xml:space="preserve">nt exception, following </w:t>
      </w:r>
      <w:r w:rsidR="004E3D42">
        <w:rPr>
          <w:rFonts w:ascii="Book Antiqua" w:hAnsi="Book Antiqua"/>
        </w:rPr>
        <w:t>radically</w:t>
      </w:r>
      <w:r w:rsidR="00AC4B9C">
        <w:rPr>
          <w:rFonts w:ascii="Book Antiqua" w:hAnsi="Book Antiqua"/>
        </w:rPr>
        <w:t xml:space="preserve"> Catholic inspiration</w:t>
      </w:r>
      <w:r w:rsidR="006336DC">
        <w:rPr>
          <w:rFonts w:ascii="Book Antiqua" w:hAnsi="Book Antiqua"/>
        </w:rPr>
        <w:t>.  No</w:t>
      </w:r>
      <w:r w:rsidR="00AC4B9C">
        <w:rPr>
          <w:rFonts w:ascii="Book Antiqua" w:hAnsi="Book Antiqua"/>
        </w:rPr>
        <w:t>w, not</w:t>
      </w:r>
      <w:r w:rsidR="006336DC">
        <w:rPr>
          <w:rFonts w:ascii="Book Antiqua" w:hAnsi="Book Antiqua"/>
        </w:rPr>
        <w:t xml:space="preserve"> surprisingly, Conservative reaction </w:t>
      </w:r>
      <w:r w:rsidR="00AC4B9C">
        <w:rPr>
          <w:rFonts w:ascii="Book Antiqua" w:hAnsi="Book Antiqua"/>
        </w:rPr>
        <w:t xml:space="preserve">has </w:t>
      </w:r>
      <w:r w:rsidR="006336DC">
        <w:rPr>
          <w:rFonts w:ascii="Book Antiqua" w:hAnsi="Book Antiqua"/>
        </w:rPr>
        <w:t xml:space="preserve">ensued, and Catholic ecclesiastics seem simply to have switched sides, your </w:t>
      </w:r>
      <w:r w:rsidR="00AF06F6">
        <w:rPr>
          <w:rFonts w:ascii="Book Antiqua" w:hAnsi="Book Antiqua"/>
        </w:rPr>
        <w:t>cobelligerents</w:t>
      </w:r>
      <w:r w:rsidR="006336DC">
        <w:rPr>
          <w:rFonts w:ascii="Book Antiqua" w:hAnsi="Book Antiqua"/>
        </w:rPr>
        <w:t xml:space="preserve"> now being conservative evangelicals.</w:t>
      </w:r>
      <w:r w:rsidR="00AF06F6">
        <w:rPr>
          <w:rFonts w:ascii="Book Antiqua" w:hAnsi="Book Antiqua"/>
        </w:rPr>
        <w:t xml:space="preserve">  </w:t>
      </w:r>
      <w:r w:rsidR="00AF06F6" w:rsidRPr="00AF06F6">
        <w:rPr>
          <w:rFonts w:ascii="Book Antiqua" w:hAnsi="Book Antiqua"/>
          <w:i/>
        </w:rPr>
        <w:t>Plus ça change</w:t>
      </w:r>
      <w:r w:rsidR="00AF06F6">
        <w:rPr>
          <w:rFonts w:ascii="Book Antiqua" w:hAnsi="Book Antiqua"/>
        </w:rPr>
        <w:t>. . .</w:t>
      </w:r>
    </w:p>
    <w:p w:rsidR="004E08C2" w:rsidRDefault="00B635D4" w:rsidP="004F645C">
      <w:pPr>
        <w:tabs>
          <w:tab w:val="left" w:pos="0"/>
        </w:tabs>
        <w:spacing w:after="120"/>
        <w:rPr>
          <w:rFonts w:ascii="Book Antiqua" w:hAnsi="Book Antiqua"/>
        </w:rPr>
      </w:pPr>
      <w:r>
        <w:rPr>
          <w:rFonts w:ascii="Book Antiqua" w:hAnsi="Book Antiqua"/>
        </w:rPr>
        <w:tab/>
      </w:r>
      <w:r w:rsidR="00501EC9">
        <w:rPr>
          <w:rFonts w:ascii="Book Antiqua" w:hAnsi="Book Antiqua"/>
        </w:rPr>
        <w:t xml:space="preserve">Analogical exploration of sexual love, it seems to me, would proceed differently.  It would seek similarities in the midst of differences, confounding most everyone.  </w:t>
      </w:r>
      <w:r w:rsidR="004E08C2">
        <w:rPr>
          <w:rFonts w:ascii="Book Antiqua" w:hAnsi="Book Antiqua"/>
        </w:rPr>
        <w:t xml:space="preserve">There is little clarity as to where that exploration would lead; it has been far too little attempted.  Some </w:t>
      </w:r>
      <w:r w:rsidR="00EA0416">
        <w:rPr>
          <w:rFonts w:ascii="Book Antiqua" w:hAnsi="Book Antiqua"/>
        </w:rPr>
        <w:t xml:space="preserve">aspects </w:t>
      </w:r>
      <w:r w:rsidR="004E08C2">
        <w:rPr>
          <w:rFonts w:ascii="Book Antiqua" w:hAnsi="Book Antiqua"/>
        </w:rPr>
        <w:t xml:space="preserve">of the outline of that exploration, though, seem fairly clear.  </w:t>
      </w:r>
    </w:p>
    <w:p w:rsidR="004E08C2" w:rsidRDefault="004E08C2" w:rsidP="004F645C">
      <w:pPr>
        <w:tabs>
          <w:tab w:val="left" w:pos="0"/>
        </w:tabs>
        <w:spacing w:after="120"/>
        <w:rPr>
          <w:rFonts w:ascii="Book Antiqua" w:hAnsi="Book Antiqua"/>
        </w:rPr>
      </w:pPr>
      <w:r>
        <w:rPr>
          <w:rFonts w:ascii="Book Antiqua" w:hAnsi="Book Antiqua"/>
        </w:rPr>
        <w:tab/>
        <w:t xml:space="preserve">It would begin with consideration of homosexual love, precisely </w:t>
      </w:r>
      <w:r w:rsidRPr="004E08C2">
        <w:rPr>
          <w:rFonts w:ascii="Book Antiqua" w:hAnsi="Book Antiqua"/>
          <w:i/>
        </w:rPr>
        <w:t>as</w:t>
      </w:r>
      <w:r>
        <w:rPr>
          <w:rFonts w:ascii="Book Antiqua" w:hAnsi="Book Antiqua"/>
        </w:rPr>
        <w:t xml:space="preserve"> love.  There would be no phenomenological bracketing from analysis of the </w:t>
      </w:r>
      <w:r w:rsidRPr="004E08C2">
        <w:rPr>
          <w:rFonts w:ascii="Book Antiqua" w:hAnsi="Book Antiqua"/>
          <w:i/>
        </w:rPr>
        <w:t>humanum</w:t>
      </w:r>
      <w:r>
        <w:rPr>
          <w:rFonts w:ascii="Book Antiqua" w:hAnsi="Book Antiqua"/>
        </w:rPr>
        <w:t>, no insisting on hushed silence.  Listening would precede speech</w:t>
      </w:r>
      <w:r w:rsidR="00C81EDD">
        <w:rPr>
          <w:rFonts w:ascii="Book Antiqua" w:hAnsi="Book Antiqua"/>
        </w:rPr>
        <w:t xml:space="preserve">, with openness to recognizing stories of falling in love, suffering in love, and rejoicing in love as being very familiar in their narration.  </w:t>
      </w:r>
      <w:r w:rsidR="00C32292">
        <w:rPr>
          <w:rFonts w:ascii="Book Antiqua" w:hAnsi="Book Antiqua"/>
        </w:rPr>
        <w:t xml:space="preserve">Details of evolving self-discovery would likely differ, but the reality of self-discovery precisely as evolving would find lots of nodding heads.  </w:t>
      </w:r>
      <w:r w:rsidR="00C81EDD">
        <w:rPr>
          <w:rFonts w:ascii="Book Antiqua" w:hAnsi="Book Antiqua"/>
        </w:rPr>
        <w:t xml:space="preserve">There would probably be shared laughter at stories of sexual bumbling, and shared grief at stories of loss.  What is heard, I suspect, would connaturally be recognized as loving, as human, as natural.  I suspect, too, that the cross would not be absent from the storytelling, </w:t>
      </w:r>
      <w:r w:rsidR="00C32292">
        <w:rPr>
          <w:rFonts w:ascii="Book Antiqua" w:hAnsi="Book Antiqua"/>
        </w:rPr>
        <w:t xml:space="preserve">nor would </w:t>
      </w:r>
      <w:r w:rsidR="00C81EDD">
        <w:rPr>
          <w:rFonts w:ascii="Book Antiqua" w:hAnsi="Book Antiqua"/>
        </w:rPr>
        <w:t>self-sacrificing embrace of the cross</w:t>
      </w:r>
      <w:r w:rsidR="00C32292">
        <w:rPr>
          <w:rFonts w:ascii="Book Antiqua" w:hAnsi="Book Antiqua"/>
        </w:rPr>
        <w:t xml:space="preserve"> opening to the supernatural virtues,</w:t>
      </w:r>
      <w:r w:rsidR="00374E0B">
        <w:rPr>
          <w:rStyle w:val="FootnoteReference"/>
          <w:rFonts w:ascii="Book Antiqua" w:hAnsi="Book Antiqua"/>
        </w:rPr>
        <w:footnoteReference w:id="219"/>
      </w:r>
      <w:r w:rsidR="00C32292">
        <w:rPr>
          <w:rFonts w:ascii="Book Antiqua" w:hAnsi="Book Antiqua"/>
        </w:rPr>
        <w:t xml:space="preserve"> which might well also sound familiar.</w:t>
      </w:r>
    </w:p>
    <w:p w:rsidR="00C32292" w:rsidRDefault="00C32292" w:rsidP="004F645C">
      <w:pPr>
        <w:tabs>
          <w:tab w:val="left" w:pos="0"/>
        </w:tabs>
        <w:spacing w:after="120"/>
        <w:rPr>
          <w:rFonts w:ascii="Book Antiqua" w:hAnsi="Book Antiqua"/>
        </w:rPr>
      </w:pPr>
      <w:r>
        <w:rPr>
          <w:rFonts w:ascii="Book Antiqua" w:hAnsi="Book Antiqua"/>
        </w:rPr>
        <w:tab/>
        <w:t>But there would also be no need to hush any mention of difference.</w:t>
      </w:r>
      <w:r w:rsidR="00B06D81">
        <w:rPr>
          <w:rFonts w:ascii="Book Antiqua" w:hAnsi="Book Antiqua"/>
        </w:rPr>
        <w:t xml:space="preserve">  Human sexual love involves union of ‘others,’ and there may well be both a form and a degree of ‘otherness’ in the union of sexually differentiated persons that constitute significant differences from same-sex </w:t>
      </w:r>
      <w:r w:rsidR="00B06D81">
        <w:rPr>
          <w:rFonts w:ascii="Book Antiqua" w:hAnsi="Book Antiqua"/>
        </w:rPr>
        <w:lastRenderedPageBreak/>
        <w:t xml:space="preserve">relationships.  </w:t>
      </w:r>
      <w:r w:rsidR="00F52DFA">
        <w:rPr>
          <w:rFonts w:ascii="Book Antiqua" w:hAnsi="Book Antiqua"/>
        </w:rPr>
        <w:t xml:space="preserve">What the East points to as </w:t>
      </w:r>
      <w:r w:rsidR="00F52DFA" w:rsidRPr="00F52DFA">
        <w:rPr>
          <w:rFonts w:ascii="Book Antiqua" w:hAnsi="Book Antiqua"/>
          <w:i/>
        </w:rPr>
        <w:t>yin</w:t>
      </w:r>
      <w:r w:rsidR="00F52DFA">
        <w:rPr>
          <w:rFonts w:ascii="Book Antiqua" w:hAnsi="Book Antiqua"/>
        </w:rPr>
        <w:t>/</w:t>
      </w:r>
      <w:r w:rsidR="00F52DFA" w:rsidRPr="00F52DFA">
        <w:rPr>
          <w:rFonts w:ascii="Book Antiqua" w:hAnsi="Book Antiqua"/>
          <w:i/>
        </w:rPr>
        <w:t>yang</w:t>
      </w:r>
      <w:r w:rsidR="00F52DFA">
        <w:rPr>
          <w:rFonts w:ascii="Book Antiqua" w:hAnsi="Book Antiqua"/>
        </w:rPr>
        <w:t xml:space="preserve">, and what medievals meant by </w:t>
      </w:r>
      <w:r w:rsidR="00F52DFA" w:rsidRPr="00F52DFA">
        <w:rPr>
          <w:rFonts w:ascii="Book Antiqua" w:hAnsi="Book Antiqua"/>
          <w:i/>
        </w:rPr>
        <w:t>coniunctio oppositorum</w:t>
      </w:r>
      <w:r w:rsidR="00F52DFA" w:rsidRPr="00F52DFA">
        <w:rPr>
          <w:rFonts w:ascii="Book Antiqua" w:hAnsi="Book Antiqua"/>
        </w:rPr>
        <w:t>, surely</w:t>
      </w:r>
      <w:r w:rsidR="00F52DFA">
        <w:rPr>
          <w:rFonts w:ascii="Book Antiqua" w:hAnsi="Book Antiqua"/>
        </w:rPr>
        <w:t xml:space="preserve"> matter in the flesh of love, not simply in the ethereal realm of conceptual speculation – even if they do not need to matter in the same way, for everyone, all the time.  </w:t>
      </w:r>
      <w:r w:rsidR="00B06D81">
        <w:rPr>
          <w:rFonts w:ascii="Book Antiqua" w:hAnsi="Book Antiqua"/>
        </w:rPr>
        <w:t>Human procreativity</w:t>
      </w:r>
      <w:r w:rsidR="00F52DFA">
        <w:rPr>
          <w:rFonts w:ascii="Book Antiqua" w:hAnsi="Book Antiqua"/>
        </w:rPr>
        <w:t>, too,</w:t>
      </w:r>
      <w:r w:rsidR="00B06D81">
        <w:rPr>
          <w:rFonts w:ascii="Book Antiqua" w:hAnsi="Book Antiqua"/>
        </w:rPr>
        <w:t xml:space="preserve"> is no small matter.  Nor are ‘gender issues’ that surface differently in different cultures</w:t>
      </w:r>
      <w:r w:rsidR="00511F8D">
        <w:rPr>
          <w:rFonts w:ascii="Book Antiqua" w:hAnsi="Book Antiqua"/>
        </w:rPr>
        <w:t xml:space="preserve"> and at different times</w:t>
      </w:r>
      <w:r w:rsidR="00B06D81">
        <w:rPr>
          <w:rFonts w:ascii="Book Antiqua" w:hAnsi="Book Antiqua"/>
        </w:rPr>
        <w:t>.  Heterosexual experience of those issues may well be quite different from homosexual experience.</w:t>
      </w:r>
    </w:p>
    <w:p w:rsidR="00FD7C91" w:rsidRDefault="00FD7C91" w:rsidP="004F645C">
      <w:pPr>
        <w:tabs>
          <w:tab w:val="left" w:pos="0"/>
        </w:tabs>
        <w:spacing w:after="120"/>
        <w:rPr>
          <w:rFonts w:ascii="Book Antiqua" w:hAnsi="Book Antiqua"/>
        </w:rPr>
      </w:pPr>
      <w:r>
        <w:rPr>
          <w:rFonts w:ascii="Book Antiqua" w:hAnsi="Book Antiqua"/>
        </w:rPr>
        <w:tab/>
        <w:t>Where would it all lead?  I have no idea; nor do you.  That we have in co</w:t>
      </w:r>
      <w:r w:rsidR="00D74980">
        <w:rPr>
          <w:rFonts w:ascii="Book Antiqua" w:hAnsi="Book Antiqua"/>
        </w:rPr>
        <w:t>mmon.  What distinguishes</w:t>
      </w:r>
      <w:r>
        <w:rPr>
          <w:rFonts w:ascii="Book Antiqua" w:hAnsi="Book Antiqua"/>
        </w:rPr>
        <w:t xml:space="preserve"> us is this:  I know that I don’t know, and I know that you don’t know; you know that I don’t know, but you don’t know that you don’t know.</w:t>
      </w:r>
      <w:r w:rsidR="00245E3E">
        <w:rPr>
          <w:rFonts w:ascii="Book Antiqua" w:hAnsi="Book Antiqua"/>
        </w:rPr>
        <w:t xml:space="preserve">  Or, at least, so it seems from here.</w:t>
      </w:r>
    </w:p>
    <w:p w:rsidR="00245E3E" w:rsidRDefault="00245E3E" w:rsidP="004F645C">
      <w:pPr>
        <w:tabs>
          <w:tab w:val="left" w:pos="0"/>
        </w:tabs>
        <w:spacing w:after="120"/>
        <w:rPr>
          <w:rFonts w:ascii="Book Antiqua" w:hAnsi="Book Antiqua"/>
        </w:rPr>
      </w:pPr>
      <w:r>
        <w:rPr>
          <w:rFonts w:ascii="Book Antiqua" w:hAnsi="Book Antiqua"/>
        </w:rPr>
        <w:tab/>
        <w:t xml:space="preserve">Might it lead to the judgment that ‘marriage’ is best reserved, as both word and social institution, to express the differences, while creative energy is expended to discover and create words and institutions that express the similarities?  </w:t>
      </w:r>
      <w:r w:rsidR="000C24BC">
        <w:rPr>
          <w:rFonts w:ascii="Book Antiqua" w:hAnsi="Book Antiqua"/>
        </w:rPr>
        <w:t>Very possibly.  Might it lead to the judgment that ‘marriage,’ again both word and institution, has embraced such diversity of meanings over time and across cultural space that it can express similarit</w:t>
      </w:r>
      <w:r w:rsidR="00B92140">
        <w:rPr>
          <w:rFonts w:ascii="Book Antiqua" w:hAnsi="Book Antiqua"/>
        </w:rPr>
        <w:t>ies, without denying difference?</w:t>
      </w:r>
      <w:r w:rsidR="000C24BC">
        <w:rPr>
          <w:rFonts w:ascii="Book Antiqua" w:hAnsi="Book Antiqua"/>
        </w:rPr>
        <w:t xml:space="preserve">  Again, very possibly.</w:t>
      </w:r>
    </w:p>
    <w:p w:rsidR="000C24BC" w:rsidRDefault="000C24BC" w:rsidP="004F645C">
      <w:pPr>
        <w:tabs>
          <w:tab w:val="left" w:pos="0"/>
        </w:tabs>
        <w:spacing w:after="120"/>
        <w:rPr>
          <w:rFonts w:ascii="Book Antiqua" w:hAnsi="Book Antiqua"/>
        </w:rPr>
      </w:pPr>
      <w:r>
        <w:rPr>
          <w:rFonts w:ascii="Book Antiqua" w:hAnsi="Book Antiqua"/>
        </w:rPr>
        <w:tab/>
        <w:t>Personally, I lean toward the former judgment</w:t>
      </w:r>
      <w:r w:rsidR="009970AC">
        <w:rPr>
          <w:rFonts w:ascii="Book Antiqua" w:hAnsi="Book Antiqua"/>
        </w:rPr>
        <w:t xml:space="preserve">, but ever so tentatively, with keen awareness of how little I know.  Constant amazement attends my encounters with certainty in persons who don’t know any more than I do.  Of the way forward, though, I have some certainty.  It will inevitably involve </w:t>
      </w:r>
      <w:r w:rsidR="00C4468D">
        <w:rPr>
          <w:rFonts w:ascii="Book Antiqua" w:hAnsi="Book Antiqua"/>
        </w:rPr>
        <w:t xml:space="preserve">clouds of unknowing, </w:t>
      </w:r>
      <w:r w:rsidR="009970AC">
        <w:rPr>
          <w:rFonts w:ascii="Book Antiqua" w:hAnsi="Book Antiqua"/>
        </w:rPr>
        <w:t>dark nights dissolving such cultural certaint</w:t>
      </w:r>
      <w:r w:rsidR="0010432E">
        <w:rPr>
          <w:rFonts w:ascii="Book Antiqua" w:hAnsi="Book Antiqua"/>
        </w:rPr>
        <w:t>ies.  Heart will speak to heart;</w:t>
      </w:r>
      <w:r w:rsidR="009970AC">
        <w:rPr>
          <w:rFonts w:ascii="Book Antiqua" w:hAnsi="Book Antiqua"/>
        </w:rPr>
        <w:t xml:space="preserve"> listening to such heartfelt speech will involve connatural recognition</w:t>
      </w:r>
      <w:r w:rsidR="0010432E">
        <w:rPr>
          <w:rFonts w:ascii="Book Antiqua" w:hAnsi="Book Antiqua"/>
        </w:rPr>
        <w:t xml:space="preserve"> of similarity-amidst-different;</w:t>
      </w:r>
      <w:r w:rsidR="009970AC">
        <w:rPr>
          <w:rFonts w:ascii="Book Antiqua" w:hAnsi="Book Antiqua"/>
        </w:rPr>
        <w:t xml:space="preserve"> </w:t>
      </w:r>
      <w:r w:rsidR="00EB4C89">
        <w:rPr>
          <w:rFonts w:ascii="Book Antiqua" w:hAnsi="Book Antiqua"/>
        </w:rPr>
        <w:t>and graced conversion will follow in many, not all.  On the basis of which, we’ll stumble on.</w:t>
      </w:r>
      <w:r w:rsidR="00484A23">
        <w:rPr>
          <w:rFonts w:ascii="Book Antiqua" w:hAnsi="Book Antiqua"/>
        </w:rPr>
        <w:t xml:space="preserve">  Just like so many times before.</w:t>
      </w:r>
    </w:p>
    <w:p w:rsidR="00776912" w:rsidRDefault="00F61DB0" w:rsidP="004F645C">
      <w:pPr>
        <w:tabs>
          <w:tab w:val="left" w:pos="0"/>
        </w:tabs>
        <w:spacing w:after="120"/>
        <w:rPr>
          <w:rFonts w:ascii="Book Antiqua" w:hAnsi="Book Antiqua"/>
        </w:rPr>
      </w:pPr>
      <w:r>
        <w:rPr>
          <w:rFonts w:ascii="Book Antiqua" w:hAnsi="Book Antiqua"/>
        </w:rPr>
        <w:tab/>
        <w:t>Nuptial theology seems determined to obviate the need for such analogical exploration, indeed to preclude its very possibility, by positing an expressed analogy as all-determinative.  Thus, Pope John Paul’s suggestion that heterosexual nuptiality is normatively constitutive of human existence in the image of God.  In this, Cardinal Scola argues, “the magisterium proposes an important innovation.”</w:t>
      </w:r>
      <w:r>
        <w:rPr>
          <w:rStyle w:val="FootnoteReference"/>
          <w:rFonts w:ascii="Book Antiqua" w:hAnsi="Book Antiqua"/>
        </w:rPr>
        <w:footnoteReference w:id="220"/>
      </w:r>
      <w:r>
        <w:rPr>
          <w:rFonts w:ascii="Book Antiqua" w:hAnsi="Book Antiqua"/>
        </w:rPr>
        <w:t xml:space="preserve">  Well, yes and no.</w:t>
      </w:r>
    </w:p>
    <w:p w:rsidR="00F61DB0" w:rsidRDefault="00F61DB0" w:rsidP="004F645C">
      <w:pPr>
        <w:tabs>
          <w:tab w:val="left" w:pos="0"/>
        </w:tabs>
        <w:spacing w:after="120"/>
        <w:rPr>
          <w:rFonts w:ascii="Book Antiqua" w:hAnsi="Book Antiqua"/>
        </w:rPr>
      </w:pPr>
      <w:r>
        <w:rPr>
          <w:rFonts w:ascii="Book Antiqua" w:hAnsi="Book Antiqua"/>
        </w:rPr>
        <w:tab/>
        <w:t>First, the no.  As a suggested analogy, it has been around for a long time.</w:t>
      </w:r>
      <w:r w:rsidR="003C1881">
        <w:rPr>
          <w:rFonts w:ascii="Book Antiqua" w:hAnsi="Book Antiqua"/>
        </w:rPr>
        <w:t xml:space="preserve">  Augustine knew of it, and didn’t make much of it.  Aquinas knew of it through Augustine, and rendered this judgment:  “This is </w:t>
      </w:r>
      <w:r w:rsidR="003C1881" w:rsidRPr="003C1881">
        <w:rPr>
          <w:rFonts w:ascii="Book Antiqua" w:hAnsi="Book Antiqua"/>
          <w:i/>
        </w:rPr>
        <w:t>prima facie</w:t>
      </w:r>
      <w:r w:rsidR="003C1881">
        <w:rPr>
          <w:rFonts w:ascii="Book Antiqua" w:hAnsi="Book Antiqua"/>
        </w:rPr>
        <w:t xml:space="preserve"> absurd.”</w:t>
      </w:r>
      <w:r w:rsidR="003C1881">
        <w:rPr>
          <w:rStyle w:val="FootnoteReference"/>
          <w:rFonts w:ascii="Book Antiqua" w:hAnsi="Book Antiqua"/>
        </w:rPr>
        <w:footnoteReference w:id="221"/>
      </w:r>
      <w:r w:rsidR="003C1881">
        <w:rPr>
          <w:rFonts w:ascii="Book Antiqua" w:hAnsi="Book Antiqua"/>
        </w:rPr>
        <w:t xml:space="preserve">  So it is not something new to our tradition; what is new is the prominence given it.</w:t>
      </w:r>
    </w:p>
    <w:p w:rsidR="003C1881" w:rsidRDefault="003C1881" w:rsidP="004F645C">
      <w:pPr>
        <w:tabs>
          <w:tab w:val="left" w:pos="0"/>
        </w:tabs>
        <w:spacing w:after="120"/>
        <w:rPr>
          <w:rFonts w:ascii="Book Antiqua" w:hAnsi="Book Antiqua"/>
        </w:rPr>
      </w:pPr>
      <w:r>
        <w:rPr>
          <w:rFonts w:ascii="Book Antiqua" w:hAnsi="Book Antiqua"/>
        </w:rPr>
        <w:tab/>
        <w:t>Thus, the yes.  That prominence is very new.</w:t>
      </w:r>
      <w:r w:rsidR="00D611E5">
        <w:rPr>
          <w:rFonts w:ascii="Book Antiqua" w:hAnsi="Book Antiqua"/>
        </w:rPr>
        <w:t xml:space="preserve">  One searches </w:t>
      </w:r>
      <w:r w:rsidR="00D611E5" w:rsidRPr="00D611E5">
        <w:rPr>
          <w:rFonts w:ascii="Book Antiqua" w:hAnsi="Book Antiqua"/>
          <w:i/>
        </w:rPr>
        <w:t xml:space="preserve">The Catechism of the Catholic Church, </w:t>
      </w:r>
      <w:r w:rsidR="00D611E5">
        <w:rPr>
          <w:rFonts w:ascii="Book Antiqua" w:hAnsi="Book Antiqua"/>
        </w:rPr>
        <w:t xml:space="preserve">for example, and finds not a trace.  There is a lengthy treatment of </w:t>
      </w:r>
      <w:r w:rsidR="004E1F87">
        <w:rPr>
          <w:rFonts w:ascii="Book Antiqua" w:hAnsi="Book Antiqua"/>
        </w:rPr>
        <w:t xml:space="preserve">human </w:t>
      </w:r>
      <w:r w:rsidR="00D611E5">
        <w:rPr>
          <w:rFonts w:ascii="Book Antiqua" w:hAnsi="Book Antiqua"/>
        </w:rPr>
        <w:t>creation in the image of God,</w:t>
      </w:r>
      <w:r w:rsidR="00D611E5">
        <w:rPr>
          <w:rStyle w:val="FootnoteReference"/>
          <w:rFonts w:ascii="Book Antiqua" w:hAnsi="Book Antiqua"/>
        </w:rPr>
        <w:footnoteReference w:id="222"/>
      </w:r>
      <w:r w:rsidR="00D611E5">
        <w:rPr>
          <w:rFonts w:ascii="Book Antiqua" w:hAnsi="Book Antiqua"/>
        </w:rPr>
        <w:t xml:space="preserve"> and scattered references to human resemblance to God,</w:t>
      </w:r>
      <w:r w:rsidR="00D611E5">
        <w:rPr>
          <w:rStyle w:val="FootnoteReference"/>
          <w:rFonts w:ascii="Book Antiqua" w:hAnsi="Book Antiqua"/>
        </w:rPr>
        <w:footnoteReference w:id="223"/>
      </w:r>
      <w:r w:rsidR="000A325D">
        <w:rPr>
          <w:rFonts w:ascii="Book Antiqua" w:hAnsi="Book Antiqua"/>
        </w:rPr>
        <w:t xml:space="preserve"> but all refer to </w:t>
      </w:r>
      <w:r w:rsidR="000A325D">
        <w:rPr>
          <w:rFonts w:ascii="Book Antiqua" w:hAnsi="Book Antiqua"/>
        </w:rPr>
        <w:lastRenderedPageBreak/>
        <w:t>individual persons in their rationality, not their sexuality.</w:t>
      </w:r>
      <w:r w:rsidR="00D611E5">
        <w:rPr>
          <w:rFonts w:ascii="Book Antiqua" w:hAnsi="Book Antiqua"/>
        </w:rPr>
        <w:t xml:space="preserve">  So as late as 1994, this new doctrine had gained no foothold in official Catholic teaching whatsoever.  Now, all of a sudden, it has virtually become </w:t>
      </w:r>
      <w:r w:rsidR="00D611E5" w:rsidRPr="00D611E5">
        <w:rPr>
          <w:rFonts w:ascii="Book Antiqua" w:hAnsi="Book Antiqua"/>
          <w:i/>
        </w:rPr>
        <w:t>the</w:t>
      </w:r>
      <w:r w:rsidR="00D611E5">
        <w:rPr>
          <w:rFonts w:ascii="Book Antiqua" w:hAnsi="Book Antiqua"/>
        </w:rPr>
        <w:t xml:space="preserve"> foothold.</w:t>
      </w:r>
    </w:p>
    <w:p w:rsidR="00776912" w:rsidRDefault="00D611E5" w:rsidP="004F645C">
      <w:pPr>
        <w:tabs>
          <w:tab w:val="left" w:pos="0"/>
        </w:tabs>
        <w:spacing w:after="120"/>
        <w:rPr>
          <w:rFonts w:ascii="Book Antiqua" w:hAnsi="Book Antiqua"/>
        </w:rPr>
      </w:pPr>
      <w:r>
        <w:rPr>
          <w:rFonts w:ascii="Book Antiqua" w:hAnsi="Book Antiqua"/>
        </w:rPr>
        <w:tab/>
      </w:r>
      <w:r w:rsidR="006819B5">
        <w:rPr>
          <w:rFonts w:ascii="Book Antiqua" w:hAnsi="Book Antiqua"/>
        </w:rPr>
        <w:t>This ‘all of a sudden’ gives me pause.  We’ve been here before.  Andrew Greeley has analyzed the “effervescence” that characterized Catholic life in the years immediately following Vatican II.</w:t>
      </w:r>
      <w:r w:rsidR="006819B5">
        <w:rPr>
          <w:rStyle w:val="FootnoteReference"/>
          <w:rFonts w:ascii="Book Antiqua" w:hAnsi="Book Antiqua"/>
        </w:rPr>
        <w:footnoteReference w:id="224"/>
      </w:r>
      <w:r w:rsidR="006819B5">
        <w:rPr>
          <w:rFonts w:ascii="Book Antiqua" w:hAnsi="Book Antiqua"/>
        </w:rPr>
        <w:t xml:space="preserve">  Heady days, those.  If I may ironically borrow a notion of which I have been critical, one might say those days were the very </w:t>
      </w:r>
      <w:r w:rsidR="006819B5" w:rsidRPr="00716AB1">
        <w:rPr>
          <w:rFonts w:ascii="Book Antiqua" w:hAnsi="Book Antiqua"/>
          <w:i/>
        </w:rPr>
        <w:t>paradigm</w:t>
      </w:r>
      <w:r w:rsidR="006819B5">
        <w:rPr>
          <w:rFonts w:ascii="Book Antiqua" w:hAnsi="Book Antiqua"/>
        </w:rPr>
        <w:t xml:space="preserve"> of all-of-a-suddenness.</w:t>
      </w:r>
      <w:r w:rsidR="002412F9">
        <w:rPr>
          <w:rFonts w:ascii="Book Antiqua" w:hAnsi="Book Antiqua"/>
        </w:rPr>
        <w:t xml:space="preserve">  Perhaps it’s only fair that self-styled ‘traditionalists’ get their day in the effervescent sun, as they perceive self-styled ‘progressives’ to have had theirs.  But that does seem a fairly accurate characteriza</w:t>
      </w:r>
      <w:r w:rsidR="007310C8">
        <w:rPr>
          <w:rFonts w:ascii="Book Antiqua" w:hAnsi="Book Antiqua"/>
        </w:rPr>
        <w:t>-</w:t>
      </w:r>
      <w:r w:rsidR="002412F9">
        <w:rPr>
          <w:rFonts w:ascii="Book Antiqua" w:hAnsi="Book Antiqua"/>
        </w:rPr>
        <w:t>tion of contemporary ecclesial life.  Proliferating publications and seminars on the theology of the body remind me of nothing so much as early 1970s workshops on the fundamental option.  The great Irish literary critic Terry Eagleton once self-mockingly remarked that he had studied the sacred science back in the day when you could call yourself a theologian if you could spell Schillebeeckx.</w:t>
      </w:r>
      <w:r w:rsidR="002412F9">
        <w:rPr>
          <w:rStyle w:val="FootnoteReference"/>
          <w:rFonts w:ascii="Book Antiqua" w:hAnsi="Book Antiqua"/>
        </w:rPr>
        <w:footnoteReference w:id="225"/>
      </w:r>
      <w:r w:rsidR="002412F9">
        <w:rPr>
          <w:rFonts w:ascii="Book Antiqua" w:hAnsi="Book Antiqua"/>
        </w:rPr>
        <w:t xml:space="preserve">  Fast forward fifty years, substitute J-o-h-n-P-a-u-l for</w:t>
      </w:r>
      <w:r w:rsidR="007310C8">
        <w:rPr>
          <w:rFonts w:ascii="Book Antiqua" w:hAnsi="Book Antiqua"/>
        </w:rPr>
        <w:t xml:space="preserve"> </w:t>
      </w:r>
      <w:r w:rsidR="002412F9">
        <w:rPr>
          <w:rFonts w:ascii="Book Antiqua" w:hAnsi="Book Antiqua"/>
        </w:rPr>
        <w:t>S-c-h-i-l-l-e-b-e-e-c-k-x, and today it’s even easier to be a theologian!</w:t>
      </w:r>
    </w:p>
    <w:p w:rsidR="004A089E" w:rsidRDefault="004A089E" w:rsidP="004F645C">
      <w:pPr>
        <w:tabs>
          <w:tab w:val="left" w:pos="0"/>
        </w:tabs>
        <w:spacing w:after="120"/>
        <w:rPr>
          <w:rFonts w:ascii="Book Antiqua" w:hAnsi="Book Antiqua"/>
        </w:rPr>
      </w:pPr>
      <w:r>
        <w:rPr>
          <w:rFonts w:ascii="Book Antiqua" w:hAnsi="Book Antiqua"/>
        </w:rPr>
        <w:tab/>
        <w:t>There was, though, t</w:t>
      </w:r>
      <w:r w:rsidR="000A5889">
        <w:rPr>
          <w:rFonts w:ascii="Book Antiqua" w:hAnsi="Book Antiqua"/>
        </w:rPr>
        <w:t xml:space="preserve">his difference:  effervescent ‘progressives’ </w:t>
      </w:r>
      <w:r>
        <w:rPr>
          <w:rFonts w:ascii="Book Antiqua" w:hAnsi="Book Antiqua"/>
        </w:rPr>
        <w:t xml:space="preserve">didn’t tend to become popes, or even </w:t>
      </w:r>
      <w:r w:rsidR="000A5889">
        <w:rPr>
          <w:rFonts w:ascii="Book Antiqua" w:hAnsi="Book Antiqua"/>
        </w:rPr>
        <w:t>prefects</w:t>
      </w:r>
      <w:r>
        <w:rPr>
          <w:rFonts w:ascii="Book Antiqua" w:hAnsi="Book Antiqua"/>
        </w:rPr>
        <w:t xml:space="preserve"> of the Holy Office.  </w:t>
      </w:r>
      <w:r w:rsidR="000A5889">
        <w:rPr>
          <w:rFonts w:ascii="Book Antiqua" w:hAnsi="Book Antiqua"/>
        </w:rPr>
        <w:t xml:space="preserve">The effervescent ‘new breed’ </w:t>
      </w:r>
      <w:r>
        <w:rPr>
          <w:rFonts w:ascii="Book Antiqua" w:hAnsi="Book Antiqua"/>
        </w:rPr>
        <w:t xml:space="preserve">is possessed of such tendency, with the result that </w:t>
      </w:r>
      <w:r w:rsidRPr="004A089E">
        <w:rPr>
          <w:rFonts w:ascii="Book Antiqua" w:hAnsi="Book Antiqua"/>
          <w:i/>
        </w:rPr>
        <w:t>an</w:t>
      </w:r>
      <w:r>
        <w:rPr>
          <w:rFonts w:ascii="Book Antiqua" w:hAnsi="Book Antiqua"/>
        </w:rPr>
        <w:t xml:space="preserve"> analogy can become </w:t>
      </w:r>
      <w:r w:rsidRPr="004A089E">
        <w:rPr>
          <w:rFonts w:ascii="Book Antiqua" w:hAnsi="Book Antiqua"/>
          <w:i/>
        </w:rPr>
        <w:t>the</w:t>
      </w:r>
      <w:r w:rsidR="00884F18">
        <w:rPr>
          <w:rFonts w:ascii="Book Antiqua" w:hAnsi="Book Antiqua"/>
        </w:rPr>
        <w:t xml:space="preserve"> analogy, and can do so </w:t>
      </w:r>
      <w:r>
        <w:rPr>
          <w:rFonts w:ascii="Book Antiqua" w:hAnsi="Book Antiqua"/>
        </w:rPr>
        <w:t>quickly</w:t>
      </w:r>
      <w:r w:rsidR="004D72DA">
        <w:rPr>
          <w:rFonts w:ascii="Book Antiqua" w:hAnsi="Book Antiqua"/>
        </w:rPr>
        <w:t xml:space="preserve"> and powerfully.  And that</w:t>
      </w:r>
      <w:r>
        <w:rPr>
          <w:rFonts w:ascii="Book Antiqua" w:hAnsi="Book Antiqua"/>
        </w:rPr>
        <w:t xml:space="preserve"> power can be rather ruthless:  question the definite article here, and it’s off with your head.  Not to worry, though, the </w:t>
      </w:r>
      <w:r w:rsidRPr="000A325D">
        <w:rPr>
          <w:rFonts w:ascii="Book Antiqua" w:hAnsi="Book Antiqua"/>
          <w:i/>
        </w:rPr>
        <w:t>imago Dei</w:t>
      </w:r>
      <w:r>
        <w:rPr>
          <w:rFonts w:ascii="Book Antiqua" w:hAnsi="Book Antiqua"/>
        </w:rPr>
        <w:t xml:space="preserve"> is now found </w:t>
      </w:r>
      <w:r w:rsidR="00A73368">
        <w:rPr>
          <w:rFonts w:ascii="Book Antiqua" w:hAnsi="Book Antiqua"/>
        </w:rPr>
        <w:t>“in our genitalia, not in our</w:t>
      </w:r>
      <w:r>
        <w:rPr>
          <w:rFonts w:ascii="Book Antiqua" w:hAnsi="Book Antiqua"/>
        </w:rPr>
        <w:t xml:space="preserve"> head</w:t>
      </w:r>
      <w:r w:rsidR="00A73368">
        <w:rPr>
          <w:rFonts w:ascii="Book Antiqua" w:hAnsi="Book Antiqua"/>
        </w:rPr>
        <w:t>s</w:t>
      </w:r>
      <w:r>
        <w:rPr>
          <w:rFonts w:ascii="Book Antiqua" w:hAnsi="Book Antiqua"/>
        </w:rPr>
        <w:t>,</w:t>
      </w:r>
      <w:r w:rsidR="00A73368">
        <w:rPr>
          <w:rFonts w:ascii="Book Antiqua" w:hAnsi="Book Antiqua"/>
        </w:rPr>
        <w:t>”</w:t>
      </w:r>
      <w:r w:rsidR="00E56A89">
        <w:rPr>
          <w:rStyle w:val="FootnoteReference"/>
          <w:rFonts w:ascii="Book Antiqua" w:hAnsi="Book Antiqua"/>
        </w:rPr>
        <w:footnoteReference w:id="226"/>
      </w:r>
      <w:r>
        <w:rPr>
          <w:rFonts w:ascii="Book Antiqua" w:hAnsi="Book Antiqua"/>
        </w:rPr>
        <w:t xml:space="preserve"> so </w:t>
      </w:r>
      <w:r w:rsidR="00E56A89">
        <w:rPr>
          <w:rFonts w:ascii="Book Antiqua" w:hAnsi="Book Antiqua"/>
        </w:rPr>
        <w:t>nothing of spiritual value is at stake</w:t>
      </w:r>
      <w:r>
        <w:rPr>
          <w:rFonts w:ascii="Book Antiqua" w:hAnsi="Book Antiqua"/>
        </w:rPr>
        <w:t>.</w:t>
      </w:r>
    </w:p>
    <w:p w:rsidR="00355311" w:rsidRDefault="0004354F" w:rsidP="004F645C">
      <w:pPr>
        <w:tabs>
          <w:tab w:val="left" w:pos="0"/>
        </w:tabs>
        <w:spacing w:after="120"/>
        <w:rPr>
          <w:rFonts w:ascii="Book Antiqua" w:hAnsi="Book Antiqua"/>
        </w:rPr>
      </w:pPr>
      <w:r>
        <w:rPr>
          <w:rFonts w:ascii="Book Antiqua" w:hAnsi="Book Antiqua"/>
        </w:rPr>
        <w:tab/>
        <w:t>Yet it is, o</w:t>
      </w:r>
      <w:r w:rsidR="000B6778">
        <w:rPr>
          <w:rFonts w:ascii="Book Antiqua" w:hAnsi="Book Antiqua"/>
        </w:rPr>
        <w:t>f</w:t>
      </w:r>
      <w:r>
        <w:rPr>
          <w:rFonts w:ascii="Book Antiqua" w:hAnsi="Book Antiqua"/>
        </w:rPr>
        <w:t xml:space="preserve"> course, ‘in our heads’ – in the human mind and will – that almost the entire </w:t>
      </w:r>
      <w:r w:rsidR="00884F18">
        <w:rPr>
          <w:rFonts w:ascii="Book Antiqua" w:hAnsi="Book Antiqua"/>
        </w:rPr>
        <w:t xml:space="preserve">Catholic tradition – both East and West -- has found the notion of </w:t>
      </w:r>
      <w:r w:rsidR="00884F18" w:rsidRPr="00884F18">
        <w:rPr>
          <w:rFonts w:ascii="Book Antiqua" w:hAnsi="Book Antiqua"/>
          <w:i/>
        </w:rPr>
        <w:t>imago Dei</w:t>
      </w:r>
      <w:r w:rsidR="00884F18">
        <w:rPr>
          <w:rFonts w:ascii="Book Antiqua" w:hAnsi="Book Antiqua"/>
        </w:rPr>
        <w:t xml:space="preserve"> to ‘reside,’ with significant </w:t>
      </w:r>
      <w:r w:rsidR="00903E7D">
        <w:rPr>
          <w:rFonts w:ascii="Book Antiqua" w:hAnsi="Book Antiqua"/>
        </w:rPr>
        <w:t>differences and development</w:t>
      </w:r>
      <w:r w:rsidR="00884F18">
        <w:rPr>
          <w:rFonts w:ascii="Book Antiqua" w:hAnsi="Book Antiqua"/>
        </w:rPr>
        <w:t xml:space="preserve"> of understanding</w:t>
      </w:r>
      <w:r w:rsidR="00844295">
        <w:rPr>
          <w:rFonts w:ascii="Book Antiqua" w:hAnsi="Book Antiqua"/>
        </w:rPr>
        <w:t>.</w:t>
      </w:r>
      <w:r w:rsidR="00903E7D">
        <w:rPr>
          <w:rStyle w:val="FootnoteReference"/>
          <w:rFonts w:ascii="Book Antiqua" w:hAnsi="Book Antiqua"/>
        </w:rPr>
        <w:footnoteReference w:id="227"/>
      </w:r>
      <w:r w:rsidR="00D25360">
        <w:rPr>
          <w:rFonts w:ascii="Book Antiqua" w:hAnsi="Book Antiqua"/>
        </w:rPr>
        <w:t xml:space="preserve">  In a sense, at issue </w:t>
      </w:r>
      <w:r w:rsidR="00941CB3">
        <w:rPr>
          <w:rFonts w:ascii="Book Antiqua" w:hAnsi="Book Antiqua"/>
        </w:rPr>
        <w:t xml:space="preserve">here is </w:t>
      </w:r>
      <w:r w:rsidR="00941CB3">
        <w:rPr>
          <w:rFonts w:ascii="Book Antiqua" w:hAnsi="Book Antiqua"/>
        </w:rPr>
        <w:lastRenderedPageBreak/>
        <w:t>whether our existence as</w:t>
      </w:r>
      <w:r w:rsidR="00D25360">
        <w:rPr>
          <w:rFonts w:ascii="Book Antiqua" w:hAnsi="Book Antiqua"/>
        </w:rPr>
        <w:t xml:space="preserve"> </w:t>
      </w:r>
      <w:r w:rsidR="00D25360" w:rsidRPr="00D25360">
        <w:rPr>
          <w:rFonts w:ascii="Book Antiqua" w:hAnsi="Book Antiqua"/>
          <w:i/>
        </w:rPr>
        <w:t>imago Dei</w:t>
      </w:r>
      <w:r w:rsidR="00D25360">
        <w:rPr>
          <w:rFonts w:ascii="Book Antiqua" w:hAnsi="Book Antiqua"/>
        </w:rPr>
        <w:t xml:space="preserve"> lies in a particular analogy, which then becomes the control of meaning for all analogical predication, or whether our being in the image of God lies in our very ability to analogize</w:t>
      </w:r>
      <w:r w:rsidR="00AC1308">
        <w:rPr>
          <w:rFonts w:ascii="Book Antiqua" w:hAnsi="Book Antiqua"/>
        </w:rPr>
        <w:t>, an ability common to all persons, regardless of gender.</w:t>
      </w:r>
    </w:p>
    <w:p w:rsidR="00355311" w:rsidRPr="00D25360" w:rsidRDefault="00D25360" w:rsidP="00D25360">
      <w:pPr>
        <w:tabs>
          <w:tab w:val="left" w:pos="720"/>
        </w:tabs>
        <w:spacing w:after="120"/>
        <w:ind w:left="720" w:right="720"/>
        <w:rPr>
          <w:rFonts w:ascii="Book Antiqua" w:hAnsi="Book Antiqua"/>
          <w:sz w:val="20"/>
          <w:szCs w:val="20"/>
        </w:rPr>
      </w:pPr>
      <w:r w:rsidRPr="00D25360">
        <w:rPr>
          <w:rFonts w:ascii="Book Antiqua" w:hAnsi="Book Antiqua"/>
          <w:sz w:val="20"/>
          <w:szCs w:val="20"/>
        </w:rPr>
        <w:t>And so it must be said that Scripture, having stated “After God’s image he created him,” adds “male and female he created them” not to present the image of God in terms of sexual distinctions, but because the image of God is common to both sexes, being in the mind which has no distinction of sex.  And so in Collossians, after the Apostle has said “According to the image of him who created him,” he adds, “where there is neither male nor female.”</w:t>
      </w:r>
      <w:r>
        <w:rPr>
          <w:rStyle w:val="FootnoteReference"/>
          <w:rFonts w:ascii="Book Antiqua" w:hAnsi="Book Antiqua"/>
          <w:sz w:val="20"/>
          <w:szCs w:val="20"/>
        </w:rPr>
        <w:footnoteReference w:id="228"/>
      </w:r>
    </w:p>
    <w:p w:rsidR="00355311" w:rsidRDefault="00716AB1" w:rsidP="004F645C">
      <w:pPr>
        <w:tabs>
          <w:tab w:val="left" w:pos="0"/>
        </w:tabs>
        <w:spacing w:after="120"/>
        <w:rPr>
          <w:rFonts w:ascii="Book Antiqua" w:hAnsi="Book Antiqua"/>
        </w:rPr>
      </w:pPr>
      <w:r>
        <w:rPr>
          <w:rFonts w:ascii="Book Antiqua" w:hAnsi="Book Antiqua"/>
        </w:rPr>
        <w:t>It is not t</w:t>
      </w:r>
      <w:r w:rsidR="002D002A">
        <w:rPr>
          <w:rFonts w:ascii="Book Antiqua" w:hAnsi="Book Antiqua"/>
        </w:rPr>
        <w:t xml:space="preserve">he simple fact of sexual differentiation and union </w:t>
      </w:r>
      <w:r>
        <w:rPr>
          <w:rFonts w:ascii="Book Antiqua" w:hAnsi="Book Antiqua"/>
        </w:rPr>
        <w:t xml:space="preserve">that </w:t>
      </w:r>
      <w:r w:rsidR="002D002A">
        <w:rPr>
          <w:rFonts w:ascii="Book Antiqua" w:hAnsi="Book Antiqua"/>
        </w:rPr>
        <w:t xml:space="preserve">provides analogical understanding, but rather the fact that, in humans, sexual union is </w:t>
      </w:r>
      <w:r w:rsidR="002D002A" w:rsidRPr="002D002A">
        <w:rPr>
          <w:rFonts w:ascii="Book Antiqua" w:hAnsi="Book Antiqua"/>
          <w:i/>
        </w:rPr>
        <w:t>meaningful</w:t>
      </w:r>
      <w:r w:rsidR="002D002A">
        <w:rPr>
          <w:rFonts w:ascii="Book Antiqua" w:hAnsi="Book Antiqua"/>
        </w:rPr>
        <w:t>.  It is precisely our knowing and willing that distinguishes our mating from animal behavior</w:t>
      </w:r>
      <w:r w:rsidR="003512A8">
        <w:rPr>
          <w:rFonts w:ascii="Book Antiqua" w:hAnsi="Book Antiqua"/>
        </w:rPr>
        <w:t xml:space="preserve">, as our artistry and our labor are so distinguished.  And it is in </w:t>
      </w:r>
      <w:r w:rsidR="003512A8" w:rsidRPr="00493B1A">
        <w:rPr>
          <w:rFonts w:ascii="Book Antiqua" w:hAnsi="Book Antiqua"/>
          <w:i/>
        </w:rPr>
        <w:t>acts</w:t>
      </w:r>
      <w:r w:rsidR="003512A8">
        <w:rPr>
          <w:rFonts w:ascii="Book Antiqua" w:hAnsi="Book Antiqua"/>
        </w:rPr>
        <w:t xml:space="preserve"> of knowing and willing (Thomas’s ‘intelligible emanations’) that we live as the image of God.  </w:t>
      </w:r>
      <w:r w:rsidR="006614B8">
        <w:rPr>
          <w:rFonts w:ascii="Book Antiqua" w:hAnsi="Book Antiqua"/>
        </w:rPr>
        <w:t>This has been the traditional understanding.</w:t>
      </w:r>
    </w:p>
    <w:p w:rsidR="00355311" w:rsidRDefault="00716AB1" w:rsidP="004F645C">
      <w:pPr>
        <w:tabs>
          <w:tab w:val="left" w:pos="0"/>
        </w:tabs>
        <w:spacing w:after="120"/>
        <w:rPr>
          <w:rFonts w:ascii="Book Antiqua" w:hAnsi="Book Antiqua"/>
        </w:rPr>
      </w:pPr>
      <w:r>
        <w:rPr>
          <w:rFonts w:ascii="Book Antiqua" w:hAnsi="Book Antiqua"/>
        </w:rPr>
        <w:tab/>
        <w:t>Nuptial theology posits a development of doctrine, not only of significant proportion, but with breathtaking speed.</w:t>
      </w:r>
      <w:r w:rsidR="00FB4B99">
        <w:rPr>
          <w:rStyle w:val="FootnoteReference"/>
          <w:rFonts w:ascii="Book Antiqua" w:hAnsi="Book Antiqua"/>
        </w:rPr>
        <w:footnoteReference w:id="229"/>
      </w:r>
      <w:r w:rsidR="00FB4B99">
        <w:rPr>
          <w:rFonts w:ascii="Book Antiqua" w:hAnsi="Book Antiqua"/>
        </w:rPr>
        <w:t xml:space="preserve">  </w:t>
      </w:r>
      <w:r w:rsidR="00D71E5C">
        <w:rPr>
          <w:rFonts w:ascii="Book Antiqua" w:hAnsi="Book Antiqua"/>
        </w:rPr>
        <w:t xml:space="preserve">Proposed is a </w:t>
      </w:r>
      <w:r w:rsidR="00D71E5C" w:rsidRPr="00D71E5C">
        <w:rPr>
          <w:rFonts w:ascii="Book Antiqua" w:hAnsi="Book Antiqua"/>
          <w:i/>
        </w:rPr>
        <w:t>thought</w:t>
      </w:r>
      <w:r w:rsidR="00D71E5C">
        <w:rPr>
          <w:rFonts w:ascii="Book Antiqua" w:hAnsi="Book Antiqua"/>
        </w:rPr>
        <w:t xml:space="preserve"> that obviates the need for </w:t>
      </w:r>
      <w:r w:rsidR="00D71E5C" w:rsidRPr="00D71E5C">
        <w:rPr>
          <w:rFonts w:ascii="Book Antiqua" w:hAnsi="Book Antiqua"/>
          <w:i/>
        </w:rPr>
        <w:t>thinking</w:t>
      </w:r>
      <w:r w:rsidR="00D71E5C">
        <w:rPr>
          <w:rFonts w:ascii="Book Antiqua" w:hAnsi="Book Antiqua"/>
        </w:rPr>
        <w:t xml:space="preserve">.  It’s the classic distinction between </w:t>
      </w:r>
      <w:r w:rsidR="00D71E5C" w:rsidRPr="00D71E5C">
        <w:rPr>
          <w:rFonts w:ascii="Book Antiqua" w:hAnsi="Book Antiqua"/>
          <w:i/>
        </w:rPr>
        <w:t xml:space="preserve">pensée </w:t>
      </w:r>
      <w:proofErr w:type="spellStart"/>
      <w:r w:rsidR="00D71E5C" w:rsidRPr="00D71E5C">
        <w:rPr>
          <w:rFonts w:ascii="Book Antiqua" w:hAnsi="Book Antiqua"/>
          <w:i/>
        </w:rPr>
        <w:t>pensée</w:t>
      </w:r>
      <w:proofErr w:type="spellEnd"/>
      <w:r w:rsidR="00D71E5C">
        <w:rPr>
          <w:rFonts w:ascii="Book Antiqua" w:hAnsi="Book Antiqua"/>
        </w:rPr>
        <w:t xml:space="preserve"> and </w:t>
      </w:r>
      <w:r w:rsidR="00D71E5C" w:rsidRPr="00D71E5C">
        <w:rPr>
          <w:rFonts w:ascii="Book Antiqua" w:hAnsi="Book Antiqua"/>
          <w:i/>
        </w:rPr>
        <w:t>pensée pensante</w:t>
      </w:r>
      <w:r w:rsidR="00D71E5C">
        <w:rPr>
          <w:rFonts w:ascii="Book Antiqua" w:hAnsi="Book Antiqua"/>
        </w:rPr>
        <w:t xml:space="preserve">.  By elevating nuptial imagery to be the meaning-content of </w:t>
      </w:r>
      <w:r w:rsidR="00D71E5C" w:rsidRPr="00D71E5C">
        <w:rPr>
          <w:rFonts w:ascii="Book Antiqua" w:hAnsi="Book Antiqua"/>
          <w:i/>
        </w:rPr>
        <w:t>imago Dei</w:t>
      </w:r>
      <w:r w:rsidR="00D71E5C">
        <w:rPr>
          <w:rFonts w:ascii="Book Antiqua" w:hAnsi="Book Antiqua"/>
        </w:rPr>
        <w:t xml:space="preserve">, this new tradition denies the assertion that further acts of thinking and willing, not specified by this content, may be the very </w:t>
      </w:r>
      <w:r w:rsidR="00D71E5C" w:rsidRPr="00D71E5C">
        <w:rPr>
          <w:rFonts w:ascii="Book Antiqua" w:hAnsi="Book Antiqua"/>
          <w:i/>
        </w:rPr>
        <w:t>imago Dei</w:t>
      </w:r>
      <w:r w:rsidR="00D71E5C">
        <w:rPr>
          <w:rFonts w:ascii="Book Antiqua" w:hAnsi="Book Antiqua"/>
        </w:rPr>
        <w:t xml:space="preserve"> in act.  And yet such acts continue.  Other images emerge from the abyss, questions arise, insights follow, the affective intentionality of concrete persons charges those acts with momentum, further images/questions/insights follow, and demands for judgment present themselves – over and over again.</w:t>
      </w:r>
      <w:r w:rsidR="000A0205">
        <w:rPr>
          <w:rFonts w:ascii="Book Antiqua" w:hAnsi="Book Antiqua"/>
        </w:rPr>
        <w:t xml:space="preserve">  In an older tradition, this was all understood to constitute our imaging God.  Give me that old-time religion.  Trading that dynamic ‘thinking’ for an already thought ‘thought’ seems a bit like t</w:t>
      </w:r>
      <w:r w:rsidR="006B72F1">
        <w:rPr>
          <w:rFonts w:ascii="Book Antiqua" w:hAnsi="Book Antiqua"/>
        </w:rPr>
        <w:t>rading one’s birthright for a me</w:t>
      </w:r>
      <w:r w:rsidR="000A0205">
        <w:rPr>
          <w:rFonts w:ascii="Book Antiqua" w:hAnsi="Book Antiqua"/>
        </w:rPr>
        <w:t>ss of pottage.  Esau fell for it, but there are those of us who, having learned from the story, say, ‘no, thanks.’</w:t>
      </w:r>
    </w:p>
    <w:p w:rsidR="00934881" w:rsidRDefault="000A0205" w:rsidP="004F645C">
      <w:pPr>
        <w:tabs>
          <w:tab w:val="left" w:pos="0"/>
        </w:tabs>
        <w:spacing w:after="120"/>
        <w:rPr>
          <w:rFonts w:ascii="Book Antiqua" w:hAnsi="Book Antiqua"/>
        </w:rPr>
      </w:pPr>
      <w:r>
        <w:rPr>
          <w:rFonts w:ascii="Book Antiqua" w:hAnsi="Book Antiqua"/>
        </w:rPr>
        <w:tab/>
      </w:r>
      <w:r>
        <w:rPr>
          <w:rFonts w:ascii="Book Antiqua" w:hAnsi="Book Antiqua"/>
          <w:u w:val="single"/>
        </w:rPr>
        <w:t>In the fifth instance, what we are dealing with here pertains most proximately to prudence, not faith.</w:t>
      </w:r>
      <w:r>
        <w:rPr>
          <w:rFonts w:ascii="Book Antiqua" w:hAnsi="Book Antiqua"/>
        </w:rPr>
        <w:t xml:space="preserve">  </w:t>
      </w:r>
      <w:r w:rsidR="00DB4779">
        <w:rPr>
          <w:rFonts w:ascii="Book Antiqua" w:hAnsi="Book Antiqua"/>
        </w:rPr>
        <w:t>Irony abounds in visiting the virtue of prudence here.  After all, how prudent is a man who spends the better part of three months of his life writing a letter, whose addressee will, in all probability, give it, at best, a cursory read?</w:t>
      </w:r>
      <w:r w:rsidR="00FC6A41">
        <w:rPr>
          <w:rStyle w:val="FootnoteReference"/>
          <w:rFonts w:ascii="Book Antiqua" w:hAnsi="Book Antiqua"/>
        </w:rPr>
        <w:footnoteReference w:id="230"/>
      </w:r>
      <w:r w:rsidR="00DB4779">
        <w:rPr>
          <w:rFonts w:ascii="Book Antiqua" w:hAnsi="Book Antiqua"/>
        </w:rPr>
        <w:t xml:space="preserve">  And looking in the other </w:t>
      </w:r>
      <w:r w:rsidR="00DB4779">
        <w:rPr>
          <w:rFonts w:ascii="Book Antiqua" w:hAnsi="Book Antiqua"/>
        </w:rPr>
        <w:lastRenderedPageBreak/>
        <w:t xml:space="preserve">direction, having attended to your participation in this whole affair, I’ve concluded, with a high degree of probability, that prudence isn’t </w:t>
      </w:r>
      <w:r>
        <w:rPr>
          <w:rFonts w:ascii="Book Antiqua" w:hAnsi="Book Antiqua"/>
        </w:rPr>
        <w:t xml:space="preserve">exactly </w:t>
      </w:r>
      <w:r w:rsidR="00DB4779">
        <w:rPr>
          <w:rFonts w:ascii="Book Antiqua" w:hAnsi="Book Antiqua"/>
        </w:rPr>
        <w:t>your strong suit, either.</w:t>
      </w:r>
      <w:r w:rsidR="002E446E">
        <w:rPr>
          <w:rFonts w:ascii="Book Antiqua" w:hAnsi="Book Antiqua"/>
        </w:rPr>
        <w:t xml:space="preserve">  Still, it matters.</w:t>
      </w:r>
    </w:p>
    <w:p w:rsidR="003D4D69" w:rsidRDefault="003D4D69" w:rsidP="004F645C">
      <w:pPr>
        <w:tabs>
          <w:tab w:val="left" w:pos="0"/>
        </w:tabs>
        <w:spacing w:after="120"/>
        <w:rPr>
          <w:rFonts w:ascii="Book Antiqua" w:hAnsi="Book Antiqua"/>
        </w:rPr>
      </w:pPr>
      <w:r>
        <w:rPr>
          <w:rFonts w:ascii="Book Antiqua" w:hAnsi="Book Antiqua"/>
        </w:rPr>
        <w:tab/>
        <w:t>Two brief perspectives on political prudence will precede a fuller excursus on personal prudence, with a concluding connection between the two.</w:t>
      </w:r>
    </w:p>
    <w:p w:rsidR="003D4D69" w:rsidRDefault="003D7B3A" w:rsidP="004F645C">
      <w:pPr>
        <w:tabs>
          <w:tab w:val="left" w:pos="0"/>
        </w:tabs>
        <w:spacing w:after="120"/>
        <w:rPr>
          <w:rFonts w:ascii="Book Antiqua" w:hAnsi="Book Antiqua"/>
        </w:rPr>
      </w:pPr>
      <w:r>
        <w:rPr>
          <w:rFonts w:ascii="Book Antiqua" w:hAnsi="Book Antiqua"/>
        </w:rPr>
        <w:tab/>
        <w:t>The first advertence is to the simple fact that both Augustine and Aquinas, in very different social and cultural settings, opposed legal restrictions on the practice of prostitution.</w:t>
      </w:r>
      <w:r>
        <w:rPr>
          <w:rStyle w:val="FootnoteReference"/>
          <w:rFonts w:ascii="Book Antiqua" w:hAnsi="Book Antiqua"/>
        </w:rPr>
        <w:footnoteReference w:id="231"/>
      </w:r>
      <w:r>
        <w:rPr>
          <w:rFonts w:ascii="Book Antiqua" w:hAnsi="Book Antiqua"/>
        </w:rPr>
        <w:t xml:space="preserve">  I mention this, not to propose any</w:t>
      </w:r>
      <w:r w:rsidR="00A35EC5">
        <w:rPr>
          <w:rFonts w:ascii="Book Antiqua" w:hAnsi="Book Antiqua"/>
        </w:rPr>
        <w:t xml:space="preserve"> direct parallel</w:t>
      </w:r>
      <w:r>
        <w:rPr>
          <w:rFonts w:ascii="Book Antiqua" w:hAnsi="Book Antiqua"/>
        </w:rPr>
        <w:t xml:space="preserve">, </w:t>
      </w:r>
      <w:r w:rsidR="00A35EC5">
        <w:rPr>
          <w:rFonts w:ascii="Book Antiqua" w:hAnsi="Book Antiqua"/>
        </w:rPr>
        <w:t xml:space="preserve">but </w:t>
      </w:r>
      <w:r>
        <w:rPr>
          <w:rFonts w:ascii="Book Antiqua" w:hAnsi="Book Antiqua"/>
        </w:rPr>
        <w:t>only to inquire as to the reasoning behind this rather surprising, shared position, and to consider the possible pertinence of that reasoning.</w:t>
      </w:r>
      <w:r w:rsidR="004C3777">
        <w:rPr>
          <w:rFonts w:ascii="Book Antiqua" w:hAnsi="Book Antiqua"/>
        </w:rPr>
        <w:t xml:space="preserve">  The underlying conviction of both is that “the purpose of human law is the temporal tranquility of the state.”</w:t>
      </w:r>
      <w:r w:rsidR="004C3777">
        <w:rPr>
          <w:rStyle w:val="FootnoteReference"/>
          <w:rFonts w:ascii="Book Antiqua" w:hAnsi="Book Antiqua"/>
        </w:rPr>
        <w:footnoteReference w:id="232"/>
      </w:r>
      <w:r w:rsidR="00BF37B4">
        <w:rPr>
          <w:rFonts w:ascii="Book Antiqua" w:hAnsi="Book Antiqua"/>
        </w:rPr>
        <w:t xml:space="preserve">  Prudential judgment concerns choices of means to promote human flourishing most widely, and to diminish social disorder.  In this particular situation, </w:t>
      </w:r>
      <w:r w:rsidR="004904C1">
        <w:rPr>
          <w:rFonts w:ascii="Book Antiqua" w:hAnsi="Book Antiqua"/>
        </w:rPr>
        <w:t xml:space="preserve">both Augustine and </w:t>
      </w:r>
      <w:r w:rsidR="00BF37B4">
        <w:rPr>
          <w:rFonts w:ascii="Book Antiqua" w:hAnsi="Book Antiqua"/>
        </w:rPr>
        <w:t>St. Thomas judged that social tolerance would do more to promote such flourishing and diminish such disorder, than would efforts at prohibition.</w:t>
      </w:r>
    </w:p>
    <w:p w:rsidR="0043642A" w:rsidRDefault="0043642A" w:rsidP="004F645C">
      <w:pPr>
        <w:tabs>
          <w:tab w:val="left" w:pos="0"/>
        </w:tabs>
        <w:spacing w:after="120"/>
        <w:rPr>
          <w:rFonts w:ascii="Book Antiqua" w:hAnsi="Book Antiqua"/>
        </w:rPr>
      </w:pPr>
      <w:r>
        <w:rPr>
          <w:rFonts w:ascii="Book Antiqua" w:hAnsi="Book Antiqua"/>
        </w:rPr>
        <w:tab/>
        <w:t>Transposed to the current question, political prudence is still a matter of judgment as to the best means of promoting human flourishing and diminishing social disorder.  Persons of faith can differ in such judgments.  There is no ideal text of the Minnesota Constitution in some Smithsonian Museum of Natural Law, nor is there any such in some Vatican vault, awaiting discovery by a character out of a Dan Brown novel.  Different persons will highlight different aspects of human flourishing, and will have concern about different types and sources of disorder, but difference of such prudential judgment does not connote any conflict of faith between those who differ.</w:t>
      </w:r>
    </w:p>
    <w:p w:rsidR="0043642A" w:rsidRDefault="0043642A" w:rsidP="004F645C">
      <w:pPr>
        <w:tabs>
          <w:tab w:val="left" w:pos="0"/>
        </w:tabs>
        <w:spacing w:after="120"/>
        <w:rPr>
          <w:rFonts w:ascii="Book Antiqua" w:hAnsi="Book Antiqua"/>
        </w:rPr>
      </w:pPr>
      <w:r>
        <w:rPr>
          <w:rFonts w:ascii="Book Antiqua" w:hAnsi="Book Antiqua"/>
        </w:rPr>
        <w:tab/>
        <w:t xml:space="preserve">There were clearly persons </w:t>
      </w:r>
      <w:r w:rsidR="00B75B28">
        <w:rPr>
          <w:rFonts w:ascii="Book Antiqua" w:hAnsi="Book Antiqua"/>
        </w:rPr>
        <w:t>in both the fifth and thirteenth centuries who made different prudential judgments than did our saints, otherwise the question would never have arisen</w:t>
      </w:r>
      <w:r w:rsidR="00E015EC">
        <w:rPr>
          <w:rFonts w:ascii="Book Antiqua" w:hAnsi="Book Antiqua"/>
        </w:rPr>
        <w:t xml:space="preserve">.  But such differences gave </w:t>
      </w:r>
      <w:r w:rsidR="00B75B28">
        <w:rPr>
          <w:rFonts w:ascii="Book Antiqua" w:hAnsi="Book Antiqua"/>
        </w:rPr>
        <w:t xml:space="preserve">rise to </w:t>
      </w:r>
      <w:r w:rsidR="00E015EC">
        <w:rPr>
          <w:rFonts w:ascii="Book Antiqua" w:hAnsi="Book Antiqua"/>
        </w:rPr>
        <w:t xml:space="preserve">no </w:t>
      </w:r>
      <w:r w:rsidR="00B75B28">
        <w:rPr>
          <w:rFonts w:ascii="Book Antiqua" w:hAnsi="Book Antiqua"/>
        </w:rPr>
        <w:t>allegations of erosion of faith, nor to any efforts to suppress differing judgments.</w:t>
      </w:r>
      <w:r w:rsidR="003D244C">
        <w:rPr>
          <w:rFonts w:ascii="Book Antiqua" w:hAnsi="Book Antiqua"/>
        </w:rPr>
        <w:t xml:space="preserve">  There was an understanding of what was at stake, and of what was not at stake.</w:t>
      </w:r>
      <w:r w:rsidR="006546DC">
        <w:rPr>
          <w:rFonts w:ascii="Book Antiqua" w:hAnsi="Book Antiqua"/>
        </w:rPr>
        <w:t xml:space="preserve">  There should be such understanding in the twenty-first century, as well.</w:t>
      </w:r>
    </w:p>
    <w:p w:rsidR="00721AEF" w:rsidRDefault="00721AEF" w:rsidP="004F645C">
      <w:pPr>
        <w:tabs>
          <w:tab w:val="left" w:pos="0"/>
        </w:tabs>
        <w:spacing w:after="120"/>
        <w:rPr>
          <w:rFonts w:ascii="Book Antiqua" w:hAnsi="Book Antiqua"/>
        </w:rPr>
      </w:pPr>
      <w:r>
        <w:rPr>
          <w:rFonts w:ascii="Book Antiqua" w:hAnsi="Book Antiqua"/>
        </w:rPr>
        <w:tab/>
        <w:t xml:space="preserve">A second advertence harkens back to earlier American controversy about the definition of marriage, and, in my judgment, the relationship between that controversy </w:t>
      </w:r>
      <w:r w:rsidR="002C64CA">
        <w:rPr>
          <w:rFonts w:ascii="Book Antiqua" w:hAnsi="Book Antiqua"/>
        </w:rPr>
        <w:t>and</w:t>
      </w:r>
      <w:r w:rsidR="0051716C">
        <w:rPr>
          <w:rFonts w:ascii="Book Antiqua" w:hAnsi="Book Antiqua"/>
        </w:rPr>
        <w:t xml:space="preserve"> my consideration of common sense judgments of ‘natural’ and ‘unnatural.’  As I was reading Newbeck’s book on the Loving case, I began noticing patterns of regional variation in degree of tolerance and intolerance relative to interracial marriage.  The question emerged as to whether there might be any parallel pattern to the emerging divergence of tolerance and prohibition of same-sex unions.</w:t>
      </w:r>
    </w:p>
    <w:p w:rsidR="006B0FD9" w:rsidRPr="0051716C" w:rsidRDefault="0051716C" w:rsidP="0051716C">
      <w:pPr>
        <w:tabs>
          <w:tab w:val="left" w:pos="0"/>
        </w:tabs>
        <w:rPr>
          <w:rFonts w:ascii="Book Antiqua" w:hAnsi="Book Antiqua"/>
        </w:rPr>
      </w:pPr>
      <w:r>
        <w:rPr>
          <w:rFonts w:ascii="Book Antiqua" w:hAnsi="Book Antiqua"/>
        </w:rPr>
        <w:lastRenderedPageBreak/>
        <w:tab/>
        <w:t>As a means of considering that question, I developed two scales, each with five degrees of regulation.  There is certainly no scientific precision to this, and others who examine the data may well construct different scales.  Still, I think the criteria presented in Table 1 have at least a rough adequacy.</w:t>
      </w:r>
    </w:p>
    <w:p w:rsidR="006B0FD9" w:rsidRPr="005C05B9" w:rsidRDefault="006B0FD9" w:rsidP="00D02054">
      <w:pPr>
        <w:tabs>
          <w:tab w:val="left" w:pos="9360"/>
        </w:tabs>
        <w:spacing w:after="120"/>
        <w:jc w:val="center"/>
        <w:rPr>
          <w:rFonts w:ascii="Book Antiqua" w:hAnsi="Book Antiqua"/>
          <w:b/>
          <w:sz w:val="20"/>
          <w:szCs w:val="20"/>
        </w:rPr>
      </w:pPr>
      <w:r w:rsidRPr="005C05B9">
        <w:rPr>
          <w:rFonts w:ascii="Book Antiqua" w:hAnsi="Book Antiqua"/>
          <w:b/>
          <w:sz w:val="20"/>
          <w:szCs w:val="20"/>
        </w:rPr>
        <w:t>Table 1:  Criteria for Degree of Regulation of Marriage by Race and Orientation</w:t>
      </w:r>
    </w:p>
    <w:tbl>
      <w:tblPr>
        <w:tblStyle w:val="LightShading"/>
        <w:tblW w:w="9018" w:type="dxa"/>
        <w:tblInd w:w="198" w:type="dxa"/>
        <w:tblLayout w:type="fixed"/>
        <w:tblLook w:val="04A0"/>
      </w:tblPr>
      <w:tblGrid>
        <w:gridCol w:w="468"/>
        <w:gridCol w:w="4320"/>
        <w:gridCol w:w="4230"/>
      </w:tblGrid>
      <w:tr w:rsidR="006B0FD9" w:rsidTr="00D02054">
        <w:trPr>
          <w:cnfStyle w:val="100000000000"/>
        </w:trPr>
        <w:tc>
          <w:tcPr>
            <w:cnfStyle w:val="001000000000"/>
            <w:tcW w:w="468" w:type="dxa"/>
          </w:tcPr>
          <w:p w:rsidR="006B0FD9" w:rsidRDefault="006B0FD9" w:rsidP="006B19E5">
            <w:pPr>
              <w:tabs>
                <w:tab w:val="left" w:pos="8640"/>
              </w:tabs>
              <w:spacing w:after="120"/>
              <w:ind w:right="720"/>
              <w:rPr>
                <w:rFonts w:ascii="Book Antiqua" w:hAnsi="Book Antiqua"/>
                <w:sz w:val="20"/>
                <w:szCs w:val="20"/>
              </w:rPr>
            </w:pPr>
          </w:p>
        </w:tc>
        <w:tc>
          <w:tcPr>
            <w:tcW w:w="4320" w:type="dxa"/>
          </w:tcPr>
          <w:p w:rsidR="006B0FD9" w:rsidRPr="000A1CA4" w:rsidRDefault="006B0FD9" w:rsidP="006B19E5">
            <w:pPr>
              <w:tabs>
                <w:tab w:val="left" w:pos="8640"/>
              </w:tabs>
              <w:spacing w:after="120"/>
              <w:ind w:right="720"/>
              <w:cnfStyle w:val="100000000000"/>
              <w:rPr>
                <w:rFonts w:ascii="Book Antiqua" w:hAnsi="Book Antiqua"/>
                <w:sz w:val="20"/>
                <w:szCs w:val="20"/>
              </w:rPr>
            </w:pPr>
            <w:r w:rsidRPr="000A1CA4">
              <w:rPr>
                <w:rFonts w:ascii="Book Antiqua" w:hAnsi="Book Antiqua"/>
                <w:sz w:val="20"/>
                <w:szCs w:val="20"/>
              </w:rPr>
              <w:t>Regulation by Race</w:t>
            </w:r>
          </w:p>
        </w:tc>
        <w:tc>
          <w:tcPr>
            <w:tcW w:w="4230" w:type="dxa"/>
          </w:tcPr>
          <w:p w:rsidR="006B0FD9" w:rsidRPr="000A1CA4" w:rsidRDefault="006B0FD9" w:rsidP="006B19E5">
            <w:pPr>
              <w:tabs>
                <w:tab w:val="left" w:pos="8640"/>
              </w:tabs>
              <w:spacing w:after="120"/>
              <w:ind w:right="-336"/>
              <w:cnfStyle w:val="100000000000"/>
              <w:rPr>
                <w:rFonts w:ascii="Book Antiqua" w:hAnsi="Book Antiqua"/>
                <w:sz w:val="20"/>
                <w:szCs w:val="20"/>
              </w:rPr>
            </w:pPr>
            <w:r w:rsidRPr="000A1CA4">
              <w:rPr>
                <w:rFonts w:ascii="Book Antiqua" w:hAnsi="Book Antiqua"/>
                <w:sz w:val="20"/>
                <w:szCs w:val="20"/>
              </w:rPr>
              <w:t>Regulation by Orientation</w:t>
            </w:r>
          </w:p>
        </w:tc>
      </w:tr>
      <w:tr w:rsidR="006B0FD9" w:rsidTr="00D02054">
        <w:trPr>
          <w:cnfStyle w:val="000000100000"/>
        </w:trPr>
        <w:tc>
          <w:tcPr>
            <w:cnfStyle w:val="001000000000"/>
            <w:tcW w:w="468" w:type="dxa"/>
          </w:tcPr>
          <w:p w:rsidR="006B0FD9" w:rsidRPr="000A1CA4" w:rsidRDefault="006B0FD9" w:rsidP="006B19E5">
            <w:pPr>
              <w:tabs>
                <w:tab w:val="left" w:pos="8640"/>
              </w:tabs>
              <w:spacing w:after="120"/>
              <w:ind w:right="720"/>
              <w:rPr>
                <w:rFonts w:ascii="Book Antiqua" w:hAnsi="Book Antiqua"/>
                <w:b w:val="0"/>
                <w:sz w:val="20"/>
                <w:szCs w:val="20"/>
              </w:rPr>
            </w:pPr>
            <w:r w:rsidRPr="000A1CA4">
              <w:rPr>
                <w:rFonts w:ascii="Book Antiqua" w:hAnsi="Book Antiqua"/>
                <w:b w:val="0"/>
                <w:sz w:val="20"/>
                <w:szCs w:val="20"/>
              </w:rPr>
              <w:t>1</w:t>
            </w:r>
          </w:p>
        </w:tc>
        <w:tc>
          <w:tcPr>
            <w:tcW w:w="4320" w:type="dxa"/>
          </w:tcPr>
          <w:p w:rsidR="006B0FD9" w:rsidRDefault="006B0FD9" w:rsidP="006B19E5">
            <w:pPr>
              <w:tabs>
                <w:tab w:val="left" w:pos="8640"/>
              </w:tabs>
              <w:spacing w:after="120"/>
              <w:ind w:right="720"/>
              <w:cnfStyle w:val="000000100000"/>
              <w:rPr>
                <w:rFonts w:ascii="Book Antiqua" w:hAnsi="Book Antiqua"/>
                <w:sz w:val="20"/>
                <w:szCs w:val="20"/>
              </w:rPr>
            </w:pPr>
            <w:r>
              <w:rPr>
                <w:rFonts w:ascii="Book Antiqua" w:hAnsi="Book Antiqua"/>
                <w:sz w:val="20"/>
                <w:szCs w:val="20"/>
              </w:rPr>
              <w:t>No prohibition of intermarriage</w:t>
            </w:r>
          </w:p>
        </w:tc>
        <w:tc>
          <w:tcPr>
            <w:tcW w:w="4230" w:type="dxa"/>
          </w:tcPr>
          <w:p w:rsidR="006B0FD9" w:rsidRDefault="006B0FD9" w:rsidP="006B19E5">
            <w:pPr>
              <w:tabs>
                <w:tab w:val="left" w:pos="8640"/>
              </w:tabs>
              <w:spacing w:after="120"/>
              <w:ind w:right="720"/>
              <w:cnfStyle w:val="000000100000"/>
              <w:rPr>
                <w:rFonts w:ascii="Book Antiqua" w:hAnsi="Book Antiqua"/>
                <w:sz w:val="20"/>
                <w:szCs w:val="20"/>
              </w:rPr>
            </w:pPr>
            <w:r>
              <w:rPr>
                <w:rFonts w:ascii="Book Antiqua" w:hAnsi="Book Antiqua"/>
                <w:sz w:val="20"/>
                <w:szCs w:val="20"/>
              </w:rPr>
              <w:t>Same-sex marriage legal</w:t>
            </w:r>
          </w:p>
        </w:tc>
      </w:tr>
      <w:tr w:rsidR="006B0FD9" w:rsidTr="00D02054">
        <w:tc>
          <w:tcPr>
            <w:cnfStyle w:val="001000000000"/>
            <w:tcW w:w="468" w:type="dxa"/>
          </w:tcPr>
          <w:p w:rsidR="006B0FD9" w:rsidRPr="000A1CA4" w:rsidRDefault="006B0FD9" w:rsidP="006B19E5">
            <w:pPr>
              <w:tabs>
                <w:tab w:val="left" w:pos="8640"/>
              </w:tabs>
              <w:spacing w:after="120"/>
              <w:ind w:right="720"/>
              <w:rPr>
                <w:rFonts w:ascii="Book Antiqua" w:hAnsi="Book Antiqua"/>
                <w:b w:val="0"/>
                <w:sz w:val="20"/>
                <w:szCs w:val="20"/>
              </w:rPr>
            </w:pPr>
            <w:r w:rsidRPr="000A1CA4">
              <w:rPr>
                <w:rFonts w:ascii="Book Antiqua" w:hAnsi="Book Antiqua"/>
                <w:b w:val="0"/>
                <w:sz w:val="20"/>
                <w:szCs w:val="20"/>
              </w:rPr>
              <w:t>2</w:t>
            </w:r>
          </w:p>
        </w:tc>
        <w:tc>
          <w:tcPr>
            <w:tcW w:w="4320" w:type="dxa"/>
          </w:tcPr>
          <w:p w:rsidR="006B0FD9" w:rsidRDefault="006B0FD9" w:rsidP="006B19E5">
            <w:pPr>
              <w:tabs>
                <w:tab w:val="left" w:pos="8640"/>
              </w:tabs>
              <w:spacing w:after="120"/>
              <w:ind w:right="720"/>
              <w:cnfStyle w:val="000000000000"/>
              <w:rPr>
                <w:rFonts w:ascii="Book Antiqua" w:hAnsi="Book Antiqua"/>
                <w:sz w:val="20"/>
                <w:szCs w:val="20"/>
              </w:rPr>
            </w:pPr>
            <w:r>
              <w:rPr>
                <w:rFonts w:ascii="Book Antiqua" w:hAnsi="Book Antiqua"/>
                <w:sz w:val="20"/>
                <w:szCs w:val="20"/>
              </w:rPr>
              <w:t>No felony; repealed before 1900</w:t>
            </w:r>
          </w:p>
        </w:tc>
        <w:tc>
          <w:tcPr>
            <w:tcW w:w="4230" w:type="dxa"/>
          </w:tcPr>
          <w:p w:rsidR="006B0FD9" w:rsidRDefault="006B0FD9" w:rsidP="006B19E5">
            <w:pPr>
              <w:tabs>
                <w:tab w:val="left" w:pos="8640"/>
              </w:tabs>
              <w:spacing w:after="120"/>
              <w:ind w:right="720"/>
              <w:cnfStyle w:val="000000000000"/>
              <w:rPr>
                <w:rFonts w:ascii="Book Antiqua" w:hAnsi="Book Antiqua"/>
                <w:sz w:val="20"/>
                <w:szCs w:val="20"/>
              </w:rPr>
            </w:pPr>
            <w:r>
              <w:rPr>
                <w:rFonts w:ascii="Book Antiqua" w:hAnsi="Book Antiqua"/>
                <w:sz w:val="20"/>
                <w:szCs w:val="20"/>
              </w:rPr>
              <w:t>Civil unions provided by statute</w:t>
            </w:r>
          </w:p>
        </w:tc>
      </w:tr>
      <w:tr w:rsidR="006B0FD9" w:rsidTr="00D02054">
        <w:trPr>
          <w:cnfStyle w:val="000000100000"/>
        </w:trPr>
        <w:tc>
          <w:tcPr>
            <w:cnfStyle w:val="001000000000"/>
            <w:tcW w:w="468" w:type="dxa"/>
          </w:tcPr>
          <w:p w:rsidR="006B0FD9" w:rsidRPr="000A1CA4" w:rsidRDefault="006B0FD9" w:rsidP="006B19E5">
            <w:pPr>
              <w:tabs>
                <w:tab w:val="left" w:pos="8640"/>
              </w:tabs>
              <w:spacing w:after="120"/>
              <w:ind w:right="720"/>
              <w:rPr>
                <w:rFonts w:ascii="Book Antiqua" w:hAnsi="Book Antiqua"/>
                <w:b w:val="0"/>
                <w:sz w:val="20"/>
                <w:szCs w:val="20"/>
              </w:rPr>
            </w:pPr>
            <w:r w:rsidRPr="000A1CA4">
              <w:rPr>
                <w:rFonts w:ascii="Book Antiqua" w:hAnsi="Book Antiqua"/>
                <w:b w:val="0"/>
                <w:sz w:val="20"/>
                <w:szCs w:val="20"/>
              </w:rPr>
              <w:t>3</w:t>
            </w:r>
          </w:p>
        </w:tc>
        <w:tc>
          <w:tcPr>
            <w:tcW w:w="4320" w:type="dxa"/>
          </w:tcPr>
          <w:p w:rsidR="006B0FD9" w:rsidRDefault="006B0FD9" w:rsidP="006B19E5">
            <w:pPr>
              <w:tabs>
                <w:tab w:val="left" w:pos="8640"/>
              </w:tabs>
              <w:spacing w:after="120"/>
              <w:ind w:right="-108"/>
              <w:cnfStyle w:val="000000100000"/>
              <w:rPr>
                <w:rFonts w:ascii="Book Antiqua" w:hAnsi="Book Antiqua"/>
                <w:sz w:val="20"/>
                <w:szCs w:val="20"/>
              </w:rPr>
            </w:pPr>
            <w:r>
              <w:rPr>
                <w:rFonts w:ascii="Book Antiqua" w:hAnsi="Book Antiqua"/>
                <w:sz w:val="20"/>
                <w:szCs w:val="20"/>
              </w:rPr>
              <w:t>Moderate penalty; moderately early repeal</w:t>
            </w:r>
          </w:p>
        </w:tc>
        <w:tc>
          <w:tcPr>
            <w:tcW w:w="4230" w:type="dxa"/>
          </w:tcPr>
          <w:p w:rsidR="006B0FD9" w:rsidRDefault="006B0FD9" w:rsidP="006B19E5">
            <w:pPr>
              <w:tabs>
                <w:tab w:val="left" w:pos="8640"/>
              </w:tabs>
              <w:spacing w:after="120"/>
              <w:ind w:right="720"/>
              <w:cnfStyle w:val="000000100000"/>
              <w:rPr>
                <w:rFonts w:ascii="Book Antiqua" w:hAnsi="Book Antiqua"/>
                <w:sz w:val="20"/>
                <w:szCs w:val="20"/>
              </w:rPr>
            </w:pPr>
            <w:r>
              <w:rPr>
                <w:rFonts w:ascii="Book Antiqua" w:hAnsi="Book Antiqua"/>
                <w:sz w:val="20"/>
                <w:szCs w:val="20"/>
              </w:rPr>
              <w:t>No constitutional ban</w:t>
            </w:r>
          </w:p>
        </w:tc>
      </w:tr>
      <w:tr w:rsidR="006B0FD9" w:rsidTr="00D02054">
        <w:tc>
          <w:tcPr>
            <w:cnfStyle w:val="001000000000"/>
            <w:tcW w:w="468" w:type="dxa"/>
          </w:tcPr>
          <w:p w:rsidR="006B0FD9" w:rsidRPr="000A1CA4" w:rsidRDefault="006B0FD9" w:rsidP="006B19E5">
            <w:pPr>
              <w:tabs>
                <w:tab w:val="left" w:pos="8640"/>
              </w:tabs>
              <w:spacing w:after="120"/>
              <w:ind w:right="720"/>
              <w:rPr>
                <w:rFonts w:ascii="Book Antiqua" w:hAnsi="Book Antiqua"/>
                <w:b w:val="0"/>
                <w:sz w:val="20"/>
                <w:szCs w:val="20"/>
              </w:rPr>
            </w:pPr>
            <w:r w:rsidRPr="000A1CA4">
              <w:rPr>
                <w:rFonts w:ascii="Book Antiqua" w:hAnsi="Book Antiqua"/>
                <w:b w:val="0"/>
                <w:sz w:val="20"/>
                <w:szCs w:val="20"/>
              </w:rPr>
              <w:t>4</w:t>
            </w:r>
          </w:p>
        </w:tc>
        <w:tc>
          <w:tcPr>
            <w:tcW w:w="4320" w:type="dxa"/>
          </w:tcPr>
          <w:p w:rsidR="006B0FD9" w:rsidRDefault="006B0FD9" w:rsidP="006B19E5">
            <w:pPr>
              <w:tabs>
                <w:tab w:val="left" w:pos="8640"/>
              </w:tabs>
              <w:spacing w:after="120"/>
              <w:ind w:right="720"/>
              <w:cnfStyle w:val="000000000000"/>
              <w:rPr>
                <w:rFonts w:ascii="Book Antiqua" w:hAnsi="Book Antiqua"/>
                <w:sz w:val="20"/>
                <w:szCs w:val="20"/>
              </w:rPr>
            </w:pPr>
            <w:r>
              <w:rPr>
                <w:rFonts w:ascii="Book Antiqua" w:hAnsi="Book Antiqua"/>
                <w:sz w:val="20"/>
                <w:szCs w:val="20"/>
              </w:rPr>
              <w:t>Felony; moderately late repeal</w:t>
            </w:r>
          </w:p>
        </w:tc>
        <w:tc>
          <w:tcPr>
            <w:tcW w:w="4230" w:type="dxa"/>
          </w:tcPr>
          <w:p w:rsidR="006B0FD9" w:rsidRDefault="006B0FD9" w:rsidP="006B19E5">
            <w:pPr>
              <w:tabs>
                <w:tab w:val="left" w:pos="8640"/>
              </w:tabs>
              <w:spacing w:after="120"/>
              <w:cnfStyle w:val="000000000000"/>
              <w:rPr>
                <w:rFonts w:ascii="Book Antiqua" w:hAnsi="Book Antiqua"/>
                <w:sz w:val="20"/>
                <w:szCs w:val="20"/>
              </w:rPr>
            </w:pPr>
            <w:r>
              <w:rPr>
                <w:rFonts w:ascii="Book Antiqua" w:hAnsi="Book Antiqua"/>
                <w:sz w:val="20"/>
                <w:szCs w:val="20"/>
              </w:rPr>
              <w:t>Constitutional ban of same-sex marriage</w:t>
            </w:r>
          </w:p>
        </w:tc>
      </w:tr>
      <w:tr w:rsidR="006B0FD9" w:rsidTr="00D02054">
        <w:trPr>
          <w:cnfStyle w:val="000000100000"/>
        </w:trPr>
        <w:tc>
          <w:tcPr>
            <w:cnfStyle w:val="001000000000"/>
            <w:tcW w:w="468" w:type="dxa"/>
          </w:tcPr>
          <w:p w:rsidR="006B0FD9" w:rsidRPr="000A1CA4" w:rsidRDefault="006B0FD9" w:rsidP="006B19E5">
            <w:pPr>
              <w:tabs>
                <w:tab w:val="left" w:pos="8640"/>
              </w:tabs>
              <w:spacing w:after="120"/>
              <w:ind w:right="720"/>
              <w:rPr>
                <w:rFonts w:ascii="Book Antiqua" w:hAnsi="Book Antiqua"/>
                <w:b w:val="0"/>
                <w:sz w:val="20"/>
                <w:szCs w:val="20"/>
              </w:rPr>
            </w:pPr>
            <w:r w:rsidRPr="000A1CA4">
              <w:rPr>
                <w:rFonts w:ascii="Book Antiqua" w:hAnsi="Book Antiqua"/>
                <w:b w:val="0"/>
                <w:sz w:val="20"/>
                <w:szCs w:val="20"/>
              </w:rPr>
              <w:t>5</w:t>
            </w:r>
          </w:p>
        </w:tc>
        <w:tc>
          <w:tcPr>
            <w:tcW w:w="4320" w:type="dxa"/>
          </w:tcPr>
          <w:p w:rsidR="006B0FD9" w:rsidRDefault="006B0FD9" w:rsidP="006B19E5">
            <w:pPr>
              <w:tabs>
                <w:tab w:val="left" w:pos="8640"/>
              </w:tabs>
              <w:spacing w:after="120"/>
              <w:ind w:right="720"/>
              <w:cnfStyle w:val="000000100000"/>
              <w:rPr>
                <w:rFonts w:ascii="Book Antiqua" w:hAnsi="Book Antiqua"/>
                <w:sz w:val="20"/>
                <w:szCs w:val="20"/>
              </w:rPr>
            </w:pPr>
            <w:r>
              <w:rPr>
                <w:rFonts w:ascii="Book Antiqua" w:hAnsi="Book Antiqua"/>
                <w:sz w:val="20"/>
                <w:szCs w:val="20"/>
              </w:rPr>
              <w:t>Felony; late repeal</w:t>
            </w:r>
          </w:p>
        </w:tc>
        <w:tc>
          <w:tcPr>
            <w:tcW w:w="4230" w:type="dxa"/>
          </w:tcPr>
          <w:p w:rsidR="006B0FD9" w:rsidRDefault="006B0FD9" w:rsidP="006B19E5">
            <w:pPr>
              <w:tabs>
                <w:tab w:val="left" w:pos="8640"/>
              </w:tabs>
              <w:spacing w:after="120"/>
              <w:cnfStyle w:val="000000100000"/>
              <w:rPr>
                <w:rFonts w:ascii="Book Antiqua" w:hAnsi="Book Antiqua"/>
                <w:sz w:val="20"/>
                <w:szCs w:val="20"/>
              </w:rPr>
            </w:pPr>
            <w:r>
              <w:rPr>
                <w:rFonts w:ascii="Book Antiqua" w:hAnsi="Book Antiqua"/>
                <w:sz w:val="20"/>
                <w:szCs w:val="20"/>
              </w:rPr>
              <w:t>Constitutional ban of marriage &amp; civil unions</w:t>
            </w:r>
          </w:p>
        </w:tc>
      </w:tr>
    </w:tbl>
    <w:p w:rsidR="006B0FD9" w:rsidRPr="001B57B6" w:rsidRDefault="006B0FD9" w:rsidP="006B0FD9">
      <w:pPr>
        <w:tabs>
          <w:tab w:val="left" w:pos="8640"/>
        </w:tabs>
        <w:spacing w:after="120"/>
        <w:ind w:right="720"/>
        <w:rPr>
          <w:rFonts w:ascii="Book Antiqua" w:hAnsi="Book Antiqua"/>
          <w:sz w:val="18"/>
          <w:szCs w:val="18"/>
        </w:rPr>
      </w:pPr>
    </w:p>
    <w:p w:rsidR="0051716C" w:rsidRPr="001B57B6" w:rsidRDefault="00D02054" w:rsidP="005B741B">
      <w:pPr>
        <w:tabs>
          <w:tab w:val="left" w:pos="0"/>
        </w:tabs>
        <w:rPr>
          <w:rFonts w:ascii="Book Antiqua" w:hAnsi="Book Antiqua"/>
        </w:rPr>
      </w:pPr>
      <w:r w:rsidRPr="001B57B6">
        <w:rPr>
          <w:rFonts w:ascii="Book Antiqua" w:hAnsi="Book Antiqua"/>
        </w:rPr>
        <w:t xml:space="preserve">It became possible, on this basis, to identify five quintiles of states on the basis of their historical </w:t>
      </w:r>
      <w:r w:rsidR="005B741B" w:rsidRPr="001B57B6">
        <w:rPr>
          <w:rFonts w:ascii="Book Antiqua" w:hAnsi="Book Antiqua"/>
        </w:rPr>
        <w:t xml:space="preserve">regulation of marriage by race (the </w:t>
      </w:r>
      <w:r w:rsidR="008D5E3A">
        <w:rPr>
          <w:rFonts w:ascii="Book Antiqua" w:hAnsi="Book Antiqua"/>
        </w:rPr>
        <w:t>vertical</w:t>
      </w:r>
      <w:r w:rsidR="005B741B" w:rsidRPr="001B57B6">
        <w:rPr>
          <w:rFonts w:ascii="Book Antiqua" w:hAnsi="Book Antiqua"/>
        </w:rPr>
        <w:t xml:space="preserve"> columns 1-5 in Table 2).  Each state’s degree of regulation by sexual o</w:t>
      </w:r>
      <w:r w:rsidR="002E446E">
        <w:rPr>
          <w:rFonts w:ascii="Book Antiqua" w:hAnsi="Book Antiqua"/>
        </w:rPr>
        <w:t>rientation is found in the fifty</w:t>
      </w:r>
      <w:r w:rsidR="005B741B" w:rsidRPr="001B57B6">
        <w:rPr>
          <w:rFonts w:ascii="Book Antiqua" w:hAnsi="Book Antiqua"/>
        </w:rPr>
        <w:t xml:space="preserve"> parentheses of Table 2.</w:t>
      </w:r>
    </w:p>
    <w:p w:rsidR="006B0FD9" w:rsidRPr="005C05B9" w:rsidRDefault="006B0FD9" w:rsidP="006B0FD9">
      <w:pPr>
        <w:tabs>
          <w:tab w:val="left" w:pos="8640"/>
        </w:tabs>
        <w:spacing w:after="120"/>
        <w:ind w:left="720" w:right="720"/>
        <w:contextualSpacing/>
        <w:jc w:val="center"/>
        <w:rPr>
          <w:rFonts w:ascii="Book Antiqua" w:hAnsi="Book Antiqua"/>
          <w:b/>
          <w:sz w:val="20"/>
          <w:szCs w:val="20"/>
        </w:rPr>
      </w:pPr>
      <w:r w:rsidRPr="005C05B9">
        <w:rPr>
          <w:rFonts w:ascii="Book Antiqua" w:hAnsi="Book Antiqua"/>
          <w:b/>
          <w:sz w:val="20"/>
          <w:szCs w:val="20"/>
        </w:rPr>
        <w:t>Table 2:  States by Degree of Regulation by Race</w:t>
      </w:r>
    </w:p>
    <w:p w:rsidR="006B0FD9" w:rsidRPr="005C05B9" w:rsidRDefault="006B0FD9" w:rsidP="006B0FD9">
      <w:pPr>
        <w:tabs>
          <w:tab w:val="left" w:pos="8640"/>
        </w:tabs>
        <w:spacing w:after="120"/>
        <w:ind w:left="720" w:right="720"/>
        <w:jc w:val="center"/>
        <w:rPr>
          <w:rFonts w:ascii="Book Antiqua" w:hAnsi="Book Antiqua"/>
          <w:b/>
          <w:sz w:val="20"/>
          <w:szCs w:val="20"/>
        </w:rPr>
      </w:pPr>
      <w:r w:rsidRPr="005C05B9">
        <w:rPr>
          <w:rFonts w:ascii="Book Antiqua" w:hAnsi="Book Antiqua"/>
          <w:b/>
          <w:sz w:val="20"/>
          <w:szCs w:val="20"/>
        </w:rPr>
        <w:t>With Degree of Regulation by Orientation in Parentheses</w:t>
      </w:r>
    </w:p>
    <w:tbl>
      <w:tblPr>
        <w:tblStyle w:val="TableGrid"/>
        <w:tblW w:w="9918" w:type="dxa"/>
        <w:tblInd w:w="10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8" w:space="0" w:color="000000" w:themeColor="text1"/>
          <w:insideV w:val="single" w:sz="8" w:space="0" w:color="000000" w:themeColor="text1"/>
        </w:tblBorders>
        <w:tblLook w:val="04A0"/>
      </w:tblPr>
      <w:tblGrid>
        <w:gridCol w:w="2160"/>
        <w:gridCol w:w="2203"/>
        <w:gridCol w:w="1595"/>
        <w:gridCol w:w="1915"/>
        <w:gridCol w:w="2045"/>
      </w:tblGrid>
      <w:tr w:rsidR="006B0FD9" w:rsidRPr="00C82A8B" w:rsidTr="001A0DC3">
        <w:tc>
          <w:tcPr>
            <w:tcW w:w="2160" w:type="dxa"/>
          </w:tcPr>
          <w:p w:rsidR="006B0FD9" w:rsidRPr="00C82A8B" w:rsidRDefault="006B0FD9" w:rsidP="004B1E10">
            <w:pPr>
              <w:tabs>
                <w:tab w:val="left" w:pos="9360"/>
              </w:tabs>
              <w:spacing w:after="120"/>
              <w:jc w:val="center"/>
              <w:rPr>
                <w:rFonts w:ascii="Book Antiqua" w:hAnsi="Book Antiqua"/>
                <w:b/>
              </w:rPr>
            </w:pPr>
            <w:r w:rsidRPr="00C82A8B">
              <w:rPr>
                <w:rFonts w:ascii="Book Antiqua" w:hAnsi="Book Antiqua"/>
                <w:b/>
              </w:rPr>
              <w:t>1</w:t>
            </w:r>
          </w:p>
        </w:tc>
        <w:tc>
          <w:tcPr>
            <w:tcW w:w="2203" w:type="dxa"/>
          </w:tcPr>
          <w:p w:rsidR="006B0FD9" w:rsidRPr="00C82A8B" w:rsidRDefault="006B0FD9" w:rsidP="004B1E10">
            <w:pPr>
              <w:tabs>
                <w:tab w:val="left" w:pos="9360"/>
              </w:tabs>
              <w:spacing w:after="120"/>
              <w:jc w:val="center"/>
              <w:rPr>
                <w:rFonts w:ascii="Book Antiqua" w:hAnsi="Book Antiqua"/>
                <w:b/>
              </w:rPr>
            </w:pPr>
            <w:r w:rsidRPr="00C82A8B">
              <w:rPr>
                <w:rFonts w:ascii="Book Antiqua" w:hAnsi="Book Antiqua"/>
                <w:b/>
              </w:rPr>
              <w:t>2</w:t>
            </w:r>
          </w:p>
        </w:tc>
        <w:tc>
          <w:tcPr>
            <w:tcW w:w="1595" w:type="dxa"/>
          </w:tcPr>
          <w:p w:rsidR="006B0FD9" w:rsidRPr="00C82A8B" w:rsidRDefault="006B0FD9" w:rsidP="004B1E10">
            <w:pPr>
              <w:tabs>
                <w:tab w:val="left" w:pos="9360"/>
              </w:tabs>
              <w:spacing w:after="120"/>
              <w:jc w:val="center"/>
              <w:rPr>
                <w:rFonts w:ascii="Book Antiqua" w:hAnsi="Book Antiqua"/>
                <w:b/>
              </w:rPr>
            </w:pPr>
            <w:r w:rsidRPr="00C82A8B">
              <w:rPr>
                <w:rFonts w:ascii="Book Antiqua" w:hAnsi="Book Antiqua"/>
                <w:b/>
              </w:rPr>
              <w:t>3</w:t>
            </w:r>
          </w:p>
        </w:tc>
        <w:tc>
          <w:tcPr>
            <w:tcW w:w="1915" w:type="dxa"/>
          </w:tcPr>
          <w:p w:rsidR="006B0FD9" w:rsidRPr="00C82A8B" w:rsidRDefault="006B0FD9" w:rsidP="004B1E10">
            <w:pPr>
              <w:tabs>
                <w:tab w:val="left" w:pos="9360"/>
              </w:tabs>
              <w:spacing w:after="120"/>
              <w:jc w:val="center"/>
              <w:rPr>
                <w:rFonts w:ascii="Book Antiqua" w:hAnsi="Book Antiqua"/>
                <w:b/>
              </w:rPr>
            </w:pPr>
            <w:r w:rsidRPr="00C82A8B">
              <w:rPr>
                <w:rFonts w:ascii="Book Antiqua" w:hAnsi="Book Antiqua"/>
                <w:b/>
              </w:rPr>
              <w:t>4</w:t>
            </w:r>
          </w:p>
        </w:tc>
        <w:tc>
          <w:tcPr>
            <w:tcW w:w="2045" w:type="dxa"/>
          </w:tcPr>
          <w:p w:rsidR="006B0FD9" w:rsidRPr="00C82A8B" w:rsidRDefault="006B0FD9" w:rsidP="004B1E10">
            <w:pPr>
              <w:tabs>
                <w:tab w:val="left" w:pos="9360"/>
              </w:tabs>
              <w:spacing w:after="120"/>
              <w:jc w:val="center"/>
              <w:rPr>
                <w:rFonts w:ascii="Book Antiqua" w:hAnsi="Book Antiqua"/>
                <w:b/>
              </w:rPr>
            </w:pPr>
            <w:r w:rsidRPr="00C82A8B">
              <w:rPr>
                <w:rFonts w:ascii="Book Antiqua" w:hAnsi="Book Antiqua"/>
                <w:b/>
              </w:rPr>
              <w:t>5</w:t>
            </w:r>
          </w:p>
        </w:tc>
      </w:tr>
      <w:tr w:rsidR="006B0FD9" w:rsidRPr="00C82A8B" w:rsidTr="00EC065C">
        <w:tc>
          <w:tcPr>
            <w:tcW w:w="2160" w:type="dxa"/>
          </w:tcPr>
          <w:p w:rsidR="006B0FD9" w:rsidRPr="00C82A8B" w:rsidRDefault="00082D75" w:rsidP="004B1E10">
            <w:pPr>
              <w:tabs>
                <w:tab w:val="left" w:pos="9360"/>
              </w:tabs>
              <w:spacing w:after="120"/>
              <w:rPr>
                <w:rFonts w:ascii="Book Antiqua" w:hAnsi="Book Antiqua"/>
                <w:b/>
                <w:sz w:val="20"/>
                <w:szCs w:val="20"/>
              </w:rPr>
            </w:pPr>
            <w:r w:rsidRPr="00C82A8B">
              <w:rPr>
                <w:rFonts w:ascii="Book Antiqua" w:hAnsi="Book Antiqua"/>
                <w:b/>
                <w:sz w:val="20"/>
                <w:szCs w:val="20"/>
              </w:rPr>
              <w:t>Connecticut (1)</w:t>
            </w:r>
          </w:p>
        </w:tc>
        <w:tc>
          <w:tcPr>
            <w:tcW w:w="2203" w:type="dxa"/>
          </w:tcPr>
          <w:p w:rsidR="006B0FD9" w:rsidRPr="00C82A8B" w:rsidRDefault="00D34AB5" w:rsidP="004B1E10">
            <w:pPr>
              <w:tabs>
                <w:tab w:val="left" w:pos="9360"/>
              </w:tabs>
              <w:spacing w:after="120"/>
              <w:rPr>
                <w:rFonts w:ascii="Book Antiqua" w:hAnsi="Book Antiqua"/>
                <w:b/>
                <w:sz w:val="20"/>
                <w:szCs w:val="20"/>
              </w:rPr>
            </w:pPr>
            <w:r w:rsidRPr="00C82A8B">
              <w:rPr>
                <w:rFonts w:ascii="Book Antiqua" w:hAnsi="Book Antiqua"/>
                <w:b/>
                <w:sz w:val="20"/>
                <w:szCs w:val="20"/>
              </w:rPr>
              <w:t>Massachusetts (1)</w:t>
            </w:r>
          </w:p>
        </w:tc>
        <w:tc>
          <w:tcPr>
            <w:tcW w:w="1595" w:type="dxa"/>
            <w:shd w:val="clear" w:color="auto" w:fill="F2F2F2" w:themeFill="background1" w:themeFillShade="F2"/>
          </w:tcPr>
          <w:p w:rsidR="006B0FD9" w:rsidRPr="00C82A8B" w:rsidRDefault="0073303E" w:rsidP="004B1E10">
            <w:pPr>
              <w:tabs>
                <w:tab w:val="left" w:pos="9360"/>
              </w:tabs>
              <w:spacing w:after="120"/>
              <w:rPr>
                <w:rFonts w:ascii="Book Antiqua" w:hAnsi="Book Antiqua"/>
                <w:b/>
                <w:sz w:val="20"/>
                <w:szCs w:val="20"/>
              </w:rPr>
            </w:pPr>
            <w:r w:rsidRPr="00C82A8B">
              <w:rPr>
                <w:rFonts w:ascii="Book Antiqua" w:hAnsi="Book Antiqua"/>
                <w:b/>
                <w:sz w:val="20"/>
                <w:szCs w:val="20"/>
              </w:rPr>
              <w:t>California (2)</w:t>
            </w:r>
          </w:p>
        </w:tc>
        <w:tc>
          <w:tcPr>
            <w:tcW w:w="1915" w:type="dxa"/>
            <w:shd w:val="clear" w:color="auto" w:fill="F2F2F2" w:themeFill="background1" w:themeFillShade="F2"/>
          </w:tcPr>
          <w:p w:rsidR="006B0FD9" w:rsidRPr="00C82A8B" w:rsidRDefault="009D6020" w:rsidP="004B1E10">
            <w:pPr>
              <w:tabs>
                <w:tab w:val="left" w:pos="9360"/>
              </w:tabs>
              <w:spacing w:after="120"/>
              <w:rPr>
                <w:rFonts w:ascii="Book Antiqua" w:hAnsi="Book Antiqua"/>
                <w:b/>
                <w:sz w:val="20"/>
                <w:szCs w:val="20"/>
              </w:rPr>
            </w:pPr>
            <w:r w:rsidRPr="00C82A8B">
              <w:rPr>
                <w:rFonts w:ascii="Book Antiqua" w:hAnsi="Book Antiqua"/>
                <w:b/>
                <w:sz w:val="20"/>
                <w:szCs w:val="20"/>
              </w:rPr>
              <w:t>Delaware (2)</w:t>
            </w:r>
          </w:p>
        </w:tc>
        <w:tc>
          <w:tcPr>
            <w:tcW w:w="2045" w:type="dxa"/>
            <w:shd w:val="clear" w:color="auto" w:fill="F2F2F2" w:themeFill="background1" w:themeFillShade="F2"/>
          </w:tcPr>
          <w:p w:rsidR="006B0FD9" w:rsidRPr="00C82A8B" w:rsidRDefault="008712A6" w:rsidP="004B1E10">
            <w:pPr>
              <w:tabs>
                <w:tab w:val="left" w:pos="9360"/>
              </w:tabs>
              <w:spacing w:after="120"/>
              <w:rPr>
                <w:rFonts w:ascii="Book Antiqua" w:hAnsi="Book Antiqua"/>
                <w:b/>
                <w:sz w:val="20"/>
                <w:szCs w:val="20"/>
              </w:rPr>
            </w:pPr>
            <w:r w:rsidRPr="00C82A8B">
              <w:rPr>
                <w:rFonts w:ascii="Book Antiqua" w:hAnsi="Book Antiqua"/>
                <w:b/>
                <w:sz w:val="20"/>
                <w:szCs w:val="20"/>
              </w:rPr>
              <w:t>Maryland (2)</w:t>
            </w:r>
          </w:p>
        </w:tc>
      </w:tr>
      <w:tr w:rsidR="006B0FD9" w:rsidRPr="00C82A8B" w:rsidTr="00EC065C">
        <w:tc>
          <w:tcPr>
            <w:tcW w:w="2160" w:type="dxa"/>
          </w:tcPr>
          <w:p w:rsidR="006B0FD9" w:rsidRPr="00C82A8B" w:rsidRDefault="00082D75" w:rsidP="004B1E10">
            <w:pPr>
              <w:tabs>
                <w:tab w:val="left" w:pos="9360"/>
              </w:tabs>
              <w:spacing w:after="120"/>
              <w:rPr>
                <w:rFonts w:ascii="Book Antiqua" w:hAnsi="Book Antiqua"/>
                <w:b/>
                <w:sz w:val="20"/>
                <w:szCs w:val="20"/>
              </w:rPr>
            </w:pPr>
            <w:r w:rsidRPr="00C82A8B">
              <w:rPr>
                <w:rFonts w:ascii="Book Antiqua" w:hAnsi="Book Antiqua"/>
                <w:b/>
                <w:sz w:val="20"/>
                <w:szCs w:val="20"/>
              </w:rPr>
              <w:t>Iowa (1)</w:t>
            </w:r>
          </w:p>
        </w:tc>
        <w:tc>
          <w:tcPr>
            <w:tcW w:w="2203" w:type="dxa"/>
          </w:tcPr>
          <w:p w:rsidR="006B0FD9" w:rsidRPr="00C82A8B" w:rsidRDefault="00D34AB5" w:rsidP="004B1E10">
            <w:pPr>
              <w:tabs>
                <w:tab w:val="left" w:pos="9360"/>
              </w:tabs>
              <w:spacing w:after="120"/>
              <w:rPr>
                <w:rFonts w:ascii="Book Antiqua" w:hAnsi="Book Antiqua"/>
                <w:b/>
                <w:sz w:val="20"/>
                <w:szCs w:val="20"/>
              </w:rPr>
            </w:pPr>
            <w:r w:rsidRPr="00C82A8B">
              <w:rPr>
                <w:rFonts w:ascii="Book Antiqua" w:hAnsi="Book Antiqua"/>
                <w:b/>
                <w:sz w:val="20"/>
                <w:szCs w:val="20"/>
              </w:rPr>
              <w:t>Washington (1)</w:t>
            </w:r>
          </w:p>
        </w:tc>
        <w:tc>
          <w:tcPr>
            <w:tcW w:w="1595" w:type="dxa"/>
            <w:shd w:val="clear" w:color="auto" w:fill="F2F2F2" w:themeFill="background1" w:themeFillShade="F2"/>
          </w:tcPr>
          <w:p w:rsidR="006B0FD9" w:rsidRPr="00C82A8B" w:rsidRDefault="0073303E" w:rsidP="004B1E10">
            <w:pPr>
              <w:tabs>
                <w:tab w:val="left" w:pos="9360"/>
              </w:tabs>
              <w:spacing w:after="120"/>
              <w:rPr>
                <w:rFonts w:ascii="Book Antiqua" w:hAnsi="Book Antiqua"/>
                <w:b/>
                <w:sz w:val="20"/>
                <w:szCs w:val="20"/>
              </w:rPr>
            </w:pPr>
            <w:r w:rsidRPr="00C82A8B">
              <w:rPr>
                <w:rFonts w:ascii="Book Antiqua" w:hAnsi="Book Antiqua"/>
                <w:b/>
                <w:sz w:val="20"/>
                <w:szCs w:val="20"/>
              </w:rPr>
              <w:t>Colorado (2)</w:t>
            </w:r>
          </w:p>
        </w:tc>
        <w:tc>
          <w:tcPr>
            <w:tcW w:w="1915" w:type="dxa"/>
            <w:shd w:val="clear" w:color="auto" w:fill="D9D9D9" w:themeFill="background1" w:themeFillShade="D9"/>
          </w:tcPr>
          <w:p w:rsidR="006B0FD9" w:rsidRPr="00C82A8B" w:rsidRDefault="009D6020" w:rsidP="004B1E10">
            <w:pPr>
              <w:tabs>
                <w:tab w:val="left" w:pos="9360"/>
              </w:tabs>
              <w:spacing w:after="120"/>
              <w:rPr>
                <w:rFonts w:ascii="Book Antiqua" w:hAnsi="Book Antiqua"/>
                <w:b/>
                <w:sz w:val="20"/>
                <w:szCs w:val="20"/>
              </w:rPr>
            </w:pPr>
            <w:r w:rsidRPr="00C82A8B">
              <w:rPr>
                <w:rFonts w:ascii="Book Antiqua" w:hAnsi="Book Antiqua"/>
                <w:b/>
                <w:sz w:val="20"/>
                <w:szCs w:val="20"/>
              </w:rPr>
              <w:t>West Virginia (3)</w:t>
            </w:r>
          </w:p>
        </w:tc>
        <w:tc>
          <w:tcPr>
            <w:tcW w:w="2045" w:type="dxa"/>
            <w:shd w:val="clear" w:color="auto" w:fill="D9D9D9" w:themeFill="background1" w:themeFillShade="D9"/>
          </w:tcPr>
          <w:p w:rsidR="006B0FD9" w:rsidRPr="00C82A8B" w:rsidRDefault="008712A6" w:rsidP="004B1E10">
            <w:pPr>
              <w:tabs>
                <w:tab w:val="left" w:pos="9360"/>
              </w:tabs>
              <w:spacing w:after="120"/>
              <w:rPr>
                <w:rFonts w:ascii="Book Antiqua" w:hAnsi="Book Antiqua"/>
                <w:b/>
                <w:sz w:val="20"/>
                <w:szCs w:val="20"/>
              </w:rPr>
            </w:pPr>
            <w:r w:rsidRPr="00C82A8B">
              <w:rPr>
                <w:rFonts w:ascii="Book Antiqua" w:hAnsi="Book Antiqua"/>
                <w:b/>
                <w:sz w:val="20"/>
                <w:szCs w:val="20"/>
              </w:rPr>
              <w:t>Indiana (3)</w:t>
            </w:r>
          </w:p>
        </w:tc>
      </w:tr>
      <w:tr w:rsidR="006B0FD9" w:rsidRPr="00C82A8B" w:rsidTr="00EC065C">
        <w:tc>
          <w:tcPr>
            <w:tcW w:w="2160" w:type="dxa"/>
            <w:shd w:val="clear" w:color="auto" w:fill="FFFFFF" w:themeFill="background1"/>
          </w:tcPr>
          <w:p w:rsidR="006B0FD9" w:rsidRPr="00C82A8B" w:rsidRDefault="00082D75" w:rsidP="004B1E10">
            <w:pPr>
              <w:tabs>
                <w:tab w:val="left" w:pos="9360"/>
              </w:tabs>
              <w:spacing w:after="120"/>
              <w:rPr>
                <w:rFonts w:ascii="Book Antiqua" w:hAnsi="Book Antiqua"/>
                <w:b/>
                <w:sz w:val="20"/>
                <w:szCs w:val="20"/>
              </w:rPr>
            </w:pPr>
            <w:r w:rsidRPr="00C82A8B">
              <w:rPr>
                <w:rFonts w:ascii="Book Antiqua" w:hAnsi="Book Antiqua"/>
                <w:b/>
                <w:sz w:val="20"/>
                <w:szCs w:val="20"/>
              </w:rPr>
              <w:t>New Hampshire (1)</w:t>
            </w:r>
          </w:p>
        </w:tc>
        <w:tc>
          <w:tcPr>
            <w:tcW w:w="2203" w:type="dxa"/>
            <w:shd w:val="clear" w:color="auto" w:fill="F2F2F2" w:themeFill="background1" w:themeFillShade="F2"/>
          </w:tcPr>
          <w:p w:rsidR="006B0FD9" w:rsidRPr="00C82A8B" w:rsidRDefault="00D34AB5" w:rsidP="004B1E10">
            <w:pPr>
              <w:tabs>
                <w:tab w:val="left" w:pos="9360"/>
              </w:tabs>
              <w:spacing w:after="120"/>
              <w:rPr>
                <w:rFonts w:ascii="Book Antiqua" w:hAnsi="Book Antiqua"/>
                <w:b/>
                <w:sz w:val="20"/>
                <w:szCs w:val="20"/>
              </w:rPr>
            </w:pPr>
            <w:r w:rsidRPr="00C82A8B">
              <w:rPr>
                <w:rFonts w:ascii="Book Antiqua" w:hAnsi="Book Antiqua"/>
                <w:b/>
                <w:sz w:val="20"/>
                <w:szCs w:val="20"/>
              </w:rPr>
              <w:t>Illinois (2)</w:t>
            </w:r>
          </w:p>
        </w:tc>
        <w:tc>
          <w:tcPr>
            <w:tcW w:w="1595" w:type="dxa"/>
            <w:shd w:val="clear" w:color="auto" w:fill="F2F2F2" w:themeFill="background1" w:themeFillShade="F2"/>
          </w:tcPr>
          <w:p w:rsidR="006B0FD9" w:rsidRPr="00C82A8B" w:rsidRDefault="0073303E" w:rsidP="004B1E10">
            <w:pPr>
              <w:tabs>
                <w:tab w:val="left" w:pos="9360"/>
              </w:tabs>
              <w:spacing w:after="120"/>
              <w:rPr>
                <w:rFonts w:ascii="Book Antiqua" w:hAnsi="Book Antiqua"/>
                <w:b/>
                <w:sz w:val="20"/>
                <w:szCs w:val="20"/>
              </w:rPr>
            </w:pPr>
            <w:r w:rsidRPr="00C82A8B">
              <w:rPr>
                <w:rFonts w:ascii="Book Antiqua" w:hAnsi="Book Antiqua"/>
                <w:b/>
                <w:sz w:val="20"/>
                <w:szCs w:val="20"/>
              </w:rPr>
              <w:t>Nevada (2)</w:t>
            </w:r>
          </w:p>
        </w:tc>
        <w:tc>
          <w:tcPr>
            <w:tcW w:w="1915" w:type="dxa"/>
            <w:shd w:val="clear" w:color="auto" w:fill="BFBFBF" w:themeFill="background1" w:themeFillShade="BF"/>
          </w:tcPr>
          <w:p w:rsidR="006B0FD9" w:rsidRPr="00C82A8B" w:rsidRDefault="009D6020" w:rsidP="004B1E10">
            <w:pPr>
              <w:tabs>
                <w:tab w:val="left" w:pos="9360"/>
              </w:tabs>
              <w:spacing w:after="120"/>
              <w:rPr>
                <w:rFonts w:ascii="Book Antiqua" w:hAnsi="Book Antiqua"/>
                <w:b/>
                <w:sz w:val="20"/>
                <w:szCs w:val="20"/>
              </w:rPr>
            </w:pPr>
            <w:r w:rsidRPr="00C82A8B">
              <w:rPr>
                <w:rFonts w:ascii="Book Antiqua" w:hAnsi="Book Antiqua"/>
                <w:b/>
                <w:sz w:val="20"/>
                <w:szCs w:val="20"/>
              </w:rPr>
              <w:t>Missouri (4)</w:t>
            </w:r>
          </w:p>
        </w:tc>
        <w:tc>
          <w:tcPr>
            <w:tcW w:w="2045" w:type="dxa"/>
            <w:shd w:val="clear" w:color="auto" w:fill="BFBFBF" w:themeFill="background1" w:themeFillShade="BF"/>
          </w:tcPr>
          <w:p w:rsidR="006B0FD9" w:rsidRPr="00C82A8B" w:rsidRDefault="009D2DE2" w:rsidP="004B1E10">
            <w:pPr>
              <w:tabs>
                <w:tab w:val="left" w:pos="9360"/>
              </w:tabs>
              <w:spacing w:after="120"/>
              <w:rPr>
                <w:rFonts w:ascii="Book Antiqua" w:hAnsi="Book Antiqua"/>
                <w:b/>
                <w:sz w:val="20"/>
                <w:szCs w:val="20"/>
              </w:rPr>
            </w:pPr>
            <w:r>
              <w:rPr>
                <w:rFonts w:ascii="Book Antiqua" w:hAnsi="Book Antiqua"/>
                <w:b/>
                <w:sz w:val="20"/>
                <w:szCs w:val="20"/>
              </w:rPr>
              <w:t>Missouri (4</w:t>
            </w:r>
            <w:r w:rsidR="008712A6" w:rsidRPr="00C82A8B">
              <w:rPr>
                <w:rFonts w:ascii="Book Antiqua" w:hAnsi="Book Antiqua"/>
                <w:b/>
                <w:sz w:val="20"/>
                <w:szCs w:val="20"/>
              </w:rPr>
              <w:t>)</w:t>
            </w:r>
          </w:p>
        </w:tc>
      </w:tr>
      <w:tr w:rsidR="006B0FD9" w:rsidRPr="00C82A8B" w:rsidTr="00EC065C">
        <w:tc>
          <w:tcPr>
            <w:tcW w:w="2160" w:type="dxa"/>
          </w:tcPr>
          <w:p w:rsidR="006B0FD9" w:rsidRPr="00C82A8B" w:rsidRDefault="00082D75" w:rsidP="004B1E10">
            <w:pPr>
              <w:tabs>
                <w:tab w:val="left" w:pos="9360"/>
              </w:tabs>
              <w:spacing w:after="120"/>
              <w:rPr>
                <w:rFonts w:ascii="Book Antiqua" w:hAnsi="Book Antiqua"/>
                <w:b/>
                <w:sz w:val="20"/>
                <w:szCs w:val="20"/>
              </w:rPr>
            </w:pPr>
            <w:r w:rsidRPr="00C82A8B">
              <w:rPr>
                <w:rFonts w:ascii="Book Antiqua" w:hAnsi="Book Antiqua"/>
                <w:b/>
                <w:sz w:val="20"/>
                <w:szCs w:val="20"/>
              </w:rPr>
              <w:t>New York (1)</w:t>
            </w:r>
          </w:p>
        </w:tc>
        <w:tc>
          <w:tcPr>
            <w:tcW w:w="2203" w:type="dxa"/>
            <w:shd w:val="clear" w:color="auto" w:fill="F2F2F2" w:themeFill="background1" w:themeFillShade="F2"/>
          </w:tcPr>
          <w:p w:rsidR="006B0FD9" w:rsidRPr="00C82A8B" w:rsidRDefault="00D34AB5" w:rsidP="004B1E10">
            <w:pPr>
              <w:tabs>
                <w:tab w:val="left" w:pos="9360"/>
              </w:tabs>
              <w:spacing w:after="120"/>
              <w:rPr>
                <w:rFonts w:ascii="Book Antiqua" w:hAnsi="Book Antiqua"/>
                <w:b/>
                <w:sz w:val="20"/>
                <w:szCs w:val="20"/>
              </w:rPr>
            </w:pPr>
            <w:r w:rsidRPr="00C82A8B">
              <w:rPr>
                <w:rFonts w:ascii="Book Antiqua" w:hAnsi="Book Antiqua"/>
                <w:b/>
                <w:sz w:val="20"/>
                <w:szCs w:val="20"/>
              </w:rPr>
              <w:t>Maine (2)</w:t>
            </w:r>
          </w:p>
        </w:tc>
        <w:tc>
          <w:tcPr>
            <w:tcW w:w="1595" w:type="dxa"/>
            <w:shd w:val="clear" w:color="auto" w:fill="F2F2F2" w:themeFill="background1" w:themeFillShade="F2"/>
          </w:tcPr>
          <w:p w:rsidR="006B0FD9" w:rsidRPr="00C82A8B" w:rsidRDefault="0073303E" w:rsidP="004B1E10">
            <w:pPr>
              <w:tabs>
                <w:tab w:val="left" w:pos="9360"/>
              </w:tabs>
              <w:spacing w:after="120"/>
              <w:rPr>
                <w:rFonts w:ascii="Book Antiqua" w:hAnsi="Book Antiqua"/>
                <w:b/>
                <w:sz w:val="20"/>
                <w:szCs w:val="20"/>
              </w:rPr>
            </w:pPr>
            <w:r w:rsidRPr="00C82A8B">
              <w:rPr>
                <w:rFonts w:ascii="Book Antiqua" w:hAnsi="Book Antiqua"/>
                <w:b/>
                <w:sz w:val="20"/>
                <w:szCs w:val="20"/>
              </w:rPr>
              <w:t>Oregon (2)</w:t>
            </w:r>
          </w:p>
        </w:tc>
        <w:tc>
          <w:tcPr>
            <w:tcW w:w="1915" w:type="dxa"/>
            <w:shd w:val="clear" w:color="auto" w:fill="A6A6A6" w:themeFill="background1" w:themeFillShade="A6"/>
          </w:tcPr>
          <w:p w:rsidR="006B0FD9" w:rsidRPr="00C82A8B" w:rsidRDefault="009D6020" w:rsidP="004B1E10">
            <w:pPr>
              <w:tabs>
                <w:tab w:val="left" w:pos="9360"/>
              </w:tabs>
              <w:spacing w:after="120"/>
              <w:rPr>
                <w:rFonts w:ascii="Book Antiqua" w:hAnsi="Book Antiqua"/>
                <w:b/>
                <w:sz w:val="20"/>
                <w:szCs w:val="20"/>
              </w:rPr>
            </w:pPr>
            <w:r w:rsidRPr="00C82A8B">
              <w:rPr>
                <w:rFonts w:ascii="Book Antiqua" w:hAnsi="Book Antiqua"/>
                <w:b/>
                <w:sz w:val="20"/>
                <w:szCs w:val="20"/>
              </w:rPr>
              <w:t>Arkansas (5)</w:t>
            </w:r>
          </w:p>
        </w:tc>
        <w:tc>
          <w:tcPr>
            <w:tcW w:w="2045" w:type="dxa"/>
            <w:shd w:val="clear" w:color="auto" w:fill="BFBFBF" w:themeFill="background1" w:themeFillShade="BF"/>
          </w:tcPr>
          <w:p w:rsidR="006B0FD9" w:rsidRPr="00C82A8B" w:rsidRDefault="009D2DE2" w:rsidP="004B1E10">
            <w:pPr>
              <w:tabs>
                <w:tab w:val="left" w:pos="9360"/>
              </w:tabs>
              <w:spacing w:after="120"/>
              <w:rPr>
                <w:rFonts w:ascii="Book Antiqua" w:hAnsi="Book Antiqua"/>
                <w:b/>
                <w:sz w:val="20"/>
                <w:szCs w:val="20"/>
              </w:rPr>
            </w:pPr>
            <w:r>
              <w:rPr>
                <w:rFonts w:ascii="Book Antiqua" w:hAnsi="Book Antiqua"/>
                <w:b/>
                <w:sz w:val="20"/>
                <w:szCs w:val="20"/>
              </w:rPr>
              <w:t>Tennessee</w:t>
            </w:r>
            <w:r w:rsidR="008712A6" w:rsidRPr="00C82A8B">
              <w:rPr>
                <w:rFonts w:ascii="Book Antiqua" w:hAnsi="Book Antiqua"/>
                <w:b/>
                <w:sz w:val="20"/>
                <w:szCs w:val="20"/>
              </w:rPr>
              <w:t xml:space="preserve"> (4)</w:t>
            </w:r>
          </w:p>
        </w:tc>
      </w:tr>
      <w:tr w:rsidR="006B0FD9" w:rsidRPr="00C82A8B" w:rsidTr="00EC065C">
        <w:tc>
          <w:tcPr>
            <w:tcW w:w="2160" w:type="dxa"/>
          </w:tcPr>
          <w:p w:rsidR="006B0FD9" w:rsidRPr="00C82A8B" w:rsidRDefault="00082D75" w:rsidP="004B1E10">
            <w:pPr>
              <w:tabs>
                <w:tab w:val="left" w:pos="9360"/>
              </w:tabs>
              <w:spacing w:after="120"/>
              <w:rPr>
                <w:rFonts w:ascii="Book Antiqua" w:hAnsi="Book Antiqua"/>
                <w:b/>
                <w:sz w:val="20"/>
                <w:szCs w:val="20"/>
              </w:rPr>
            </w:pPr>
            <w:r w:rsidRPr="00C82A8B">
              <w:rPr>
                <w:rFonts w:ascii="Book Antiqua" w:hAnsi="Book Antiqua"/>
                <w:b/>
                <w:sz w:val="20"/>
                <w:szCs w:val="20"/>
              </w:rPr>
              <w:t>Vermont (1)</w:t>
            </w:r>
          </w:p>
        </w:tc>
        <w:tc>
          <w:tcPr>
            <w:tcW w:w="2203" w:type="dxa"/>
            <w:shd w:val="clear" w:color="auto" w:fill="F2F2F2" w:themeFill="background1" w:themeFillShade="F2"/>
          </w:tcPr>
          <w:p w:rsidR="006B0FD9" w:rsidRPr="00C82A8B" w:rsidRDefault="00D34AB5" w:rsidP="004B1E10">
            <w:pPr>
              <w:tabs>
                <w:tab w:val="left" w:pos="9360"/>
              </w:tabs>
              <w:spacing w:after="120"/>
              <w:rPr>
                <w:rFonts w:ascii="Book Antiqua" w:hAnsi="Book Antiqua"/>
                <w:b/>
                <w:sz w:val="20"/>
                <w:szCs w:val="20"/>
              </w:rPr>
            </w:pPr>
            <w:r w:rsidRPr="00C82A8B">
              <w:rPr>
                <w:rFonts w:ascii="Book Antiqua" w:hAnsi="Book Antiqua"/>
                <w:b/>
                <w:sz w:val="20"/>
                <w:szCs w:val="20"/>
              </w:rPr>
              <w:t>Rhode Island (2)</w:t>
            </w:r>
          </w:p>
        </w:tc>
        <w:tc>
          <w:tcPr>
            <w:tcW w:w="1595" w:type="dxa"/>
            <w:shd w:val="clear" w:color="auto" w:fill="D9D9D9" w:themeFill="background1" w:themeFillShade="D9"/>
          </w:tcPr>
          <w:p w:rsidR="006B0FD9" w:rsidRPr="00C82A8B" w:rsidRDefault="0073303E" w:rsidP="004B1E10">
            <w:pPr>
              <w:tabs>
                <w:tab w:val="left" w:pos="9360"/>
              </w:tabs>
              <w:spacing w:after="120"/>
              <w:rPr>
                <w:rFonts w:ascii="Book Antiqua" w:hAnsi="Book Antiqua"/>
                <w:b/>
                <w:sz w:val="20"/>
                <w:szCs w:val="20"/>
              </w:rPr>
            </w:pPr>
            <w:r w:rsidRPr="00C82A8B">
              <w:rPr>
                <w:rFonts w:ascii="Book Antiqua" w:hAnsi="Book Antiqua"/>
                <w:b/>
                <w:sz w:val="20"/>
                <w:szCs w:val="20"/>
              </w:rPr>
              <w:t>Wyoming (3)</w:t>
            </w:r>
          </w:p>
        </w:tc>
        <w:tc>
          <w:tcPr>
            <w:tcW w:w="1915" w:type="dxa"/>
            <w:shd w:val="clear" w:color="auto" w:fill="A6A6A6" w:themeFill="background1" w:themeFillShade="A6"/>
          </w:tcPr>
          <w:p w:rsidR="006B0FD9" w:rsidRPr="00C82A8B" w:rsidRDefault="009D6020" w:rsidP="004B1E10">
            <w:pPr>
              <w:tabs>
                <w:tab w:val="left" w:pos="9360"/>
              </w:tabs>
              <w:spacing w:after="120"/>
              <w:rPr>
                <w:rFonts w:ascii="Book Antiqua" w:hAnsi="Book Antiqua"/>
                <w:b/>
                <w:sz w:val="20"/>
                <w:szCs w:val="20"/>
              </w:rPr>
            </w:pPr>
            <w:r w:rsidRPr="00C82A8B">
              <w:rPr>
                <w:rFonts w:ascii="Book Antiqua" w:hAnsi="Book Antiqua"/>
                <w:b/>
                <w:sz w:val="20"/>
                <w:szCs w:val="20"/>
              </w:rPr>
              <w:t>Kentucky (5)</w:t>
            </w:r>
          </w:p>
        </w:tc>
        <w:tc>
          <w:tcPr>
            <w:tcW w:w="2045" w:type="dxa"/>
            <w:shd w:val="clear" w:color="auto" w:fill="A6A6A6" w:themeFill="background1" w:themeFillShade="A6"/>
          </w:tcPr>
          <w:p w:rsidR="006B0FD9" w:rsidRPr="00C82A8B" w:rsidRDefault="009D2DE2" w:rsidP="004B1E10">
            <w:pPr>
              <w:tabs>
                <w:tab w:val="left" w:pos="9360"/>
              </w:tabs>
              <w:spacing w:after="120"/>
              <w:rPr>
                <w:rFonts w:ascii="Book Antiqua" w:hAnsi="Book Antiqua"/>
                <w:b/>
                <w:sz w:val="20"/>
                <w:szCs w:val="20"/>
              </w:rPr>
            </w:pPr>
            <w:r>
              <w:rPr>
                <w:rFonts w:ascii="Book Antiqua" w:hAnsi="Book Antiqua"/>
                <w:b/>
                <w:sz w:val="20"/>
                <w:szCs w:val="20"/>
              </w:rPr>
              <w:t>Alabama (5</w:t>
            </w:r>
            <w:r w:rsidR="008712A6" w:rsidRPr="00C82A8B">
              <w:rPr>
                <w:rFonts w:ascii="Book Antiqua" w:hAnsi="Book Antiqua"/>
                <w:b/>
                <w:sz w:val="20"/>
                <w:szCs w:val="20"/>
              </w:rPr>
              <w:t>)</w:t>
            </w:r>
          </w:p>
        </w:tc>
      </w:tr>
      <w:tr w:rsidR="006B0FD9" w:rsidRPr="00C82A8B" w:rsidTr="00EC065C">
        <w:tc>
          <w:tcPr>
            <w:tcW w:w="2160" w:type="dxa"/>
            <w:shd w:val="clear" w:color="auto" w:fill="F2F2F2" w:themeFill="background1" w:themeFillShade="F2"/>
          </w:tcPr>
          <w:p w:rsidR="006B0FD9" w:rsidRPr="00C82A8B" w:rsidRDefault="00082D75" w:rsidP="004B1E10">
            <w:pPr>
              <w:tabs>
                <w:tab w:val="left" w:pos="9360"/>
              </w:tabs>
              <w:spacing w:after="120"/>
              <w:rPr>
                <w:rFonts w:ascii="Book Antiqua" w:hAnsi="Book Antiqua"/>
                <w:b/>
                <w:sz w:val="20"/>
                <w:szCs w:val="20"/>
              </w:rPr>
            </w:pPr>
            <w:r w:rsidRPr="00C82A8B">
              <w:rPr>
                <w:rFonts w:ascii="Book Antiqua" w:hAnsi="Book Antiqua"/>
                <w:b/>
                <w:sz w:val="20"/>
                <w:szCs w:val="20"/>
              </w:rPr>
              <w:t>Hawaii (2)</w:t>
            </w:r>
          </w:p>
        </w:tc>
        <w:tc>
          <w:tcPr>
            <w:tcW w:w="2203" w:type="dxa"/>
            <w:shd w:val="clear" w:color="auto" w:fill="D9D9D9" w:themeFill="background1" w:themeFillShade="D9"/>
          </w:tcPr>
          <w:p w:rsidR="006B0FD9" w:rsidRPr="00C82A8B" w:rsidRDefault="00D34AB5" w:rsidP="004B1E10">
            <w:pPr>
              <w:tabs>
                <w:tab w:val="left" w:pos="9360"/>
              </w:tabs>
              <w:spacing w:after="120"/>
              <w:rPr>
                <w:rFonts w:ascii="Book Antiqua" w:hAnsi="Book Antiqua"/>
                <w:b/>
                <w:sz w:val="20"/>
                <w:szCs w:val="20"/>
              </w:rPr>
            </w:pPr>
            <w:r w:rsidRPr="00C82A8B">
              <w:rPr>
                <w:rFonts w:ascii="Book Antiqua" w:hAnsi="Book Antiqua"/>
                <w:b/>
                <w:sz w:val="20"/>
                <w:szCs w:val="20"/>
              </w:rPr>
              <w:t>New Mexico (3)</w:t>
            </w:r>
          </w:p>
        </w:tc>
        <w:tc>
          <w:tcPr>
            <w:tcW w:w="1595" w:type="dxa"/>
            <w:shd w:val="clear" w:color="auto" w:fill="BFBFBF" w:themeFill="background1" w:themeFillShade="BF"/>
          </w:tcPr>
          <w:p w:rsidR="006B0FD9" w:rsidRPr="00C82A8B" w:rsidRDefault="0073303E" w:rsidP="004B1E10">
            <w:pPr>
              <w:tabs>
                <w:tab w:val="left" w:pos="9360"/>
              </w:tabs>
              <w:spacing w:after="120"/>
              <w:rPr>
                <w:rFonts w:ascii="Book Antiqua" w:hAnsi="Book Antiqua"/>
                <w:b/>
                <w:sz w:val="20"/>
                <w:szCs w:val="20"/>
              </w:rPr>
            </w:pPr>
            <w:r w:rsidRPr="00C82A8B">
              <w:rPr>
                <w:rFonts w:ascii="Book Antiqua" w:hAnsi="Book Antiqua"/>
                <w:b/>
                <w:sz w:val="20"/>
                <w:szCs w:val="20"/>
              </w:rPr>
              <w:t>Arizona (4)</w:t>
            </w:r>
          </w:p>
        </w:tc>
        <w:tc>
          <w:tcPr>
            <w:tcW w:w="1915" w:type="dxa"/>
            <w:shd w:val="clear" w:color="auto" w:fill="A6A6A6" w:themeFill="background1" w:themeFillShade="A6"/>
          </w:tcPr>
          <w:p w:rsidR="006B0FD9" w:rsidRPr="00C82A8B" w:rsidRDefault="009D6020" w:rsidP="004B1E10">
            <w:pPr>
              <w:tabs>
                <w:tab w:val="left" w:pos="9360"/>
              </w:tabs>
              <w:spacing w:after="120"/>
              <w:rPr>
                <w:rFonts w:ascii="Book Antiqua" w:hAnsi="Book Antiqua"/>
                <w:b/>
                <w:sz w:val="20"/>
                <w:szCs w:val="20"/>
              </w:rPr>
            </w:pPr>
            <w:r w:rsidRPr="00404E6E">
              <w:rPr>
                <w:rFonts w:ascii="Book Antiqua" w:hAnsi="Book Antiqua"/>
                <w:b/>
                <w:sz w:val="20"/>
                <w:szCs w:val="20"/>
              </w:rPr>
              <w:t>Louisiana</w:t>
            </w:r>
            <w:r w:rsidRPr="00C82A8B">
              <w:rPr>
                <w:rFonts w:ascii="Book Antiqua" w:hAnsi="Book Antiqua"/>
                <w:b/>
                <w:sz w:val="20"/>
                <w:szCs w:val="20"/>
              </w:rPr>
              <w:t xml:space="preserve"> (5)</w:t>
            </w:r>
          </w:p>
        </w:tc>
        <w:tc>
          <w:tcPr>
            <w:tcW w:w="2045" w:type="dxa"/>
            <w:shd w:val="clear" w:color="auto" w:fill="A6A6A6" w:themeFill="background1" w:themeFillShade="A6"/>
          </w:tcPr>
          <w:p w:rsidR="006B0FD9" w:rsidRPr="00C82A8B" w:rsidRDefault="009D2DE2" w:rsidP="004B1E10">
            <w:pPr>
              <w:tabs>
                <w:tab w:val="left" w:pos="9360"/>
              </w:tabs>
              <w:spacing w:after="120"/>
              <w:rPr>
                <w:rFonts w:ascii="Book Antiqua" w:hAnsi="Book Antiqua"/>
                <w:b/>
                <w:sz w:val="20"/>
                <w:szCs w:val="20"/>
              </w:rPr>
            </w:pPr>
            <w:r>
              <w:rPr>
                <w:rFonts w:ascii="Book Antiqua" w:hAnsi="Book Antiqua"/>
                <w:b/>
                <w:sz w:val="20"/>
                <w:szCs w:val="20"/>
              </w:rPr>
              <w:t>Florida</w:t>
            </w:r>
            <w:r w:rsidR="008712A6" w:rsidRPr="00C82A8B">
              <w:rPr>
                <w:rFonts w:ascii="Book Antiqua" w:hAnsi="Book Antiqua"/>
                <w:b/>
                <w:sz w:val="20"/>
                <w:szCs w:val="20"/>
              </w:rPr>
              <w:t xml:space="preserve"> (5)</w:t>
            </w:r>
          </w:p>
        </w:tc>
      </w:tr>
      <w:tr w:rsidR="006B0FD9" w:rsidRPr="00C82A8B" w:rsidTr="00EC065C">
        <w:tc>
          <w:tcPr>
            <w:tcW w:w="2160" w:type="dxa"/>
            <w:shd w:val="clear" w:color="auto" w:fill="F2F2F2" w:themeFill="background1" w:themeFillShade="F2"/>
          </w:tcPr>
          <w:p w:rsidR="006B0FD9" w:rsidRPr="00C82A8B" w:rsidRDefault="00082D75" w:rsidP="004B1E10">
            <w:pPr>
              <w:tabs>
                <w:tab w:val="left" w:pos="9360"/>
              </w:tabs>
              <w:spacing w:after="120"/>
              <w:rPr>
                <w:rFonts w:ascii="Book Antiqua" w:hAnsi="Book Antiqua"/>
                <w:b/>
                <w:sz w:val="20"/>
                <w:szCs w:val="20"/>
              </w:rPr>
            </w:pPr>
            <w:r w:rsidRPr="00C82A8B">
              <w:rPr>
                <w:rFonts w:ascii="Book Antiqua" w:hAnsi="Book Antiqua"/>
                <w:b/>
                <w:sz w:val="20"/>
                <w:szCs w:val="20"/>
              </w:rPr>
              <w:t>Wisconsin (2)</w:t>
            </w:r>
          </w:p>
        </w:tc>
        <w:tc>
          <w:tcPr>
            <w:tcW w:w="2203" w:type="dxa"/>
            <w:shd w:val="clear" w:color="auto" w:fill="D9D9D9" w:themeFill="background1" w:themeFillShade="D9"/>
          </w:tcPr>
          <w:p w:rsidR="006B0FD9" w:rsidRPr="00C82A8B" w:rsidRDefault="00D34AB5" w:rsidP="004B1E10">
            <w:pPr>
              <w:tabs>
                <w:tab w:val="left" w:pos="9360"/>
              </w:tabs>
              <w:spacing w:after="120"/>
              <w:rPr>
                <w:rFonts w:ascii="Book Antiqua" w:hAnsi="Book Antiqua"/>
                <w:b/>
                <w:sz w:val="20"/>
                <w:szCs w:val="20"/>
              </w:rPr>
            </w:pPr>
            <w:r w:rsidRPr="00C82A8B">
              <w:rPr>
                <w:rFonts w:ascii="Book Antiqua" w:hAnsi="Book Antiqua"/>
                <w:b/>
                <w:sz w:val="20"/>
                <w:szCs w:val="20"/>
              </w:rPr>
              <w:t>Pennsylvania (3)</w:t>
            </w:r>
          </w:p>
        </w:tc>
        <w:tc>
          <w:tcPr>
            <w:tcW w:w="1595" w:type="dxa"/>
            <w:shd w:val="clear" w:color="auto" w:fill="BFBFBF" w:themeFill="background1" w:themeFillShade="BF"/>
          </w:tcPr>
          <w:p w:rsidR="006B0FD9" w:rsidRPr="00C82A8B" w:rsidRDefault="0073303E" w:rsidP="004B1E10">
            <w:pPr>
              <w:tabs>
                <w:tab w:val="left" w:pos="9360"/>
              </w:tabs>
              <w:spacing w:after="120"/>
              <w:rPr>
                <w:rFonts w:ascii="Book Antiqua" w:hAnsi="Book Antiqua"/>
                <w:b/>
                <w:sz w:val="20"/>
                <w:szCs w:val="20"/>
              </w:rPr>
            </w:pPr>
            <w:r w:rsidRPr="00C82A8B">
              <w:rPr>
                <w:rFonts w:ascii="Book Antiqua" w:hAnsi="Book Antiqua"/>
                <w:b/>
                <w:sz w:val="20"/>
                <w:szCs w:val="20"/>
              </w:rPr>
              <w:t>Montana (4)</w:t>
            </w:r>
          </w:p>
        </w:tc>
        <w:tc>
          <w:tcPr>
            <w:tcW w:w="1915" w:type="dxa"/>
            <w:shd w:val="clear" w:color="auto" w:fill="A6A6A6" w:themeFill="background1" w:themeFillShade="A6"/>
          </w:tcPr>
          <w:p w:rsidR="006B0FD9" w:rsidRPr="00C82A8B" w:rsidRDefault="009D6020" w:rsidP="004B1E10">
            <w:pPr>
              <w:tabs>
                <w:tab w:val="left" w:pos="9360"/>
              </w:tabs>
              <w:spacing w:after="120"/>
              <w:rPr>
                <w:rFonts w:ascii="Book Antiqua" w:hAnsi="Book Antiqua"/>
                <w:b/>
                <w:sz w:val="20"/>
                <w:szCs w:val="20"/>
              </w:rPr>
            </w:pPr>
            <w:r w:rsidRPr="00C82A8B">
              <w:rPr>
                <w:rFonts w:ascii="Book Antiqua" w:hAnsi="Book Antiqua"/>
                <w:b/>
                <w:sz w:val="20"/>
                <w:szCs w:val="20"/>
              </w:rPr>
              <w:t>North Dakota (5)</w:t>
            </w:r>
          </w:p>
        </w:tc>
        <w:tc>
          <w:tcPr>
            <w:tcW w:w="2045" w:type="dxa"/>
            <w:shd w:val="clear" w:color="auto" w:fill="A6A6A6" w:themeFill="background1" w:themeFillShade="A6"/>
          </w:tcPr>
          <w:p w:rsidR="006B0FD9" w:rsidRPr="00C82A8B" w:rsidRDefault="009D2DE2" w:rsidP="004B1E10">
            <w:pPr>
              <w:tabs>
                <w:tab w:val="left" w:pos="9360"/>
              </w:tabs>
              <w:spacing w:after="120"/>
              <w:rPr>
                <w:rFonts w:ascii="Book Antiqua" w:hAnsi="Book Antiqua"/>
                <w:b/>
                <w:sz w:val="20"/>
                <w:szCs w:val="20"/>
              </w:rPr>
            </w:pPr>
            <w:r>
              <w:rPr>
                <w:rFonts w:ascii="Book Antiqua" w:hAnsi="Book Antiqua"/>
                <w:b/>
                <w:sz w:val="20"/>
                <w:szCs w:val="20"/>
              </w:rPr>
              <w:t>Georgia</w:t>
            </w:r>
            <w:r w:rsidR="008712A6" w:rsidRPr="00C82A8B">
              <w:rPr>
                <w:rFonts w:ascii="Book Antiqua" w:hAnsi="Book Antiqua"/>
                <w:b/>
                <w:sz w:val="20"/>
                <w:szCs w:val="20"/>
              </w:rPr>
              <w:t xml:space="preserve"> (5)</w:t>
            </w:r>
          </w:p>
        </w:tc>
      </w:tr>
      <w:tr w:rsidR="006B0FD9" w:rsidRPr="00C82A8B" w:rsidTr="00EC065C">
        <w:trPr>
          <w:trHeight w:val="404"/>
        </w:trPr>
        <w:tc>
          <w:tcPr>
            <w:tcW w:w="2160" w:type="dxa"/>
            <w:shd w:val="clear" w:color="auto" w:fill="D9D9D9" w:themeFill="background1" w:themeFillShade="D9"/>
          </w:tcPr>
          <w:p w:rsidR="006B0FD9" w:rsidRPr="00C82A8B" w:rsidRDefault="00082D75" w:rsidP="004B1E10">
            <w:pPr>
              <w:tabs>
                <w:tab w:val="left" w:pos="9360"/>
              </w:tabs>
              <w:spacing w:after="120"/>
              <w:rPr>
                <w:rFonts w:ascii="Book Antiqua" w:hAnsi="Book Antiqua"/>
                <w:b/>
                <w:sz w:val="20"/>
                <w:szCs w:val="20"/>
              </w:rPr>
            </w:pPr>
            <w:r w:rsidRPr="00C82A8B">
              <w:rPr>
                <w:rFonts w:ascii="Book Antiqua" w:hAnsi="Book Antiqua"/>
                <w:b/>
                <w:sz w:val="20"/>
                <w:szCs w:val="20"/>
              </w:rPr>
              <w:t>Minnesota (3)</w:t>
            </w:r>
          </w:p>
        </w:tc>
        <w:tc>
          <w:tcPr>
            <w:tcW w:w="2203" w:type="dxa"/>
            <w:shd w:val="clear" w:color="auto" w:fill="A6A6A6" w:themeFill="background1" w:themeFillShade="A6"/>
          </w:tcPr>
          <w:p w:rsidR="006B0FD9" w:rsidRPr="00C82A8B" w:rsidRDefault="00D34AB5" w:rsidP="004B1E10">
            <w:pPr>
              <w:tabs>
                <w:tab w:val="left" w:pos="9360"/>
              </w:tabs>
              <w:spacing w:after="120"/>
              <w:rPr>
                <w:rFonts w:ascii="Book Antiqua" w:hAnsi="Book Antiqua"/>
                <w:b/>
                <w:sz w:val="20"/>
                <w:szCs w:val="20"/>
              </w:rPr>
            </w:pPr>
            <w:r w:rsidRPr="00C82A8B">
              <w:rPr>
                <w:rFonts w:ascii="Book Antiqua" w:hAnsi="Book Antiqua"/>
                <w:b/>
                <w:sz w:val="20"/>
                <w:szCs w:val="20"/>
              </w:rPr>
              <w:t>Kansas (5)</w:t>
            </w:r>
          </w:p>
        </w:tc>
        <w:tc>
          <w:tcPr>
            <w:tcW w:w="1595" w:type="dxa"/>
            <w:shd w:val="clear" w:color="auto" w:fill="A6A6A6" w:themeFill="background1" w:themeFillShade="A6"/>
          </w:tcPr>
          <w:p w:rsidR="006B0FD9" w:rsidRPr="00C82A8B" w:rsidRDefault="0073303E" w:rsidP="004B1E10">
            <w:pPr>
              <w:tabs>
                <w:tab w:val="left" w:pos="9360"/>
              </w:tabs>
              <w:spacing w:after="120"/>
              <w:rPr>
                <w:rFonts w:ascii="Book Antiqua" w:hAnsi="Book Antiqua"/>
                <w:b/>
                <w:sz w:val="20"/>
                <w:szCs w:val="20"/>
              </w:rPr>
            </w:pPr>
            <w:r w:rsidRPr="00C82A8B">
              <w:rPr>
                <w:rFonts w:ascii="Book Antiqua" w:hAnsi="Book Antiqua"/>
                <w:b/>
                <w:sz w:val="20"/>
                <w:szCs w:val="20"/>
              </w:rPr>
              <w:t>Idaho (5)</w:t>
            </w:r>
          </w:p>
        </w:tc>
        <w:tc>
          <w:tcPr>
            <w:tcW w:w="1915" w:type="dxa"/>
            <w:shd w:val="clear" w:color="auto" w:fill="A6A6A6" w:themeFill="background1" w:themeFillShade="A6"/>
          </w:tcPr>
          <w:p w:rsidR="006B0FD9" w:rsidRPr="00C82A8B" w:rsidRDefault="009D6020" w:rsidP="004B1E10">
            <w:pPr>
              <w:tabs>
                <w:tab w:val="left" w:pos="9360"/>
              </w:tabs>
              <w:spacing w:after="120"/>
              <w:rPr>
                <w:rFonts w:ascii="Book Antiqua" w:hAnsi="Book Antiqua"/>
                <w:b/>
                <w:sz w:val="20"/>
                <w:szCs w:val="20"/>
              </w:rPr>
            </w:pPr>
            <w:r w:rsidRPr="00C82A8B">
              <w:rPr>
                <w:rFonts w:ascii="Book Antiqua" w:hAnsi="Book Antiqua"/>
                <w:b/>
                <w:sz w:val="20"/>
                <w:szCs w:val="20"/>
              </w:rPr>
              <w:t>Oklahoma (5)</w:t>
            </w:r>
          </w:p>
        </w:tc>
        <w:tc>
          <w:tcPr>
            <w:tcW w:w="2045" w:type="dxa"/>
            <w:shd w:val="clear" w:color="auto" w:fill="A6A6A6" w:themeFill="background1" w:themeFillShade="A6"/>
          </w:tcPr>
          <w:p w:rsidR="006B0FD9" w:rsidRPr="00C82A8B" w:rsidRDefault="009D2DE2" w:rsidP="004B1E10">
            <w:pPr>
              <w:tabs>
                <w:tab w:val="left" w:pos="9360"/>
              </w:tabs>
              <w:spacing w:after="120"/>
              <w:rPr>
                <w:rFonts w:ascii="Book Antiqua" w:hAnsi="Book Antiqua"/>
                <w:b/>
                <w:sz w:val="20"/>
                <w:szCs w:val="20"/>
              </w:rPr>
            </w:pPr>
            <w:r>
              <w:rPr>
                <w:rFonts w:ascii="Book Antiqua" w:hAnsi="Book Antiqua"/>
                <w:b/>
                <w:sz w:val="20"/>
                <w:szCs w:val="20"/>
              </w:rPr>
              <w:t>North Carolina</w:t>
            </w:r>
            <w:r w:rsidR="008712A6" w:rsidRPr="00C82A8B">
              <w:rPr>
                <w:rFonts w:ascii="Book Antiqua" w:hAnsi="Book Antiqua"/>
                <w:b/>
                <w:sz w:val="20"/>
                <w:szCs w:val="20"/>
              </w:rPr>
              <w:t xml:space="preserve"> (5)</w:t>
            </w:r>
          </w:p>
        </w:tc>
      </w:tr>
      <w:tr w:rsidR="006B0FD9" w:rsidRPr="00C82A8B" w:rsidTr="00EC065C">
        <w:tc>
          <w:tcPr>
            <w:tcW w:w="2160" w:type="dxa"/>
            <w:shd w:val="clear" w:color="auto" w:fill="D9D9D9" w:themeFill="background1" w:themeFillShade="D9"/>
          </w:tcPr>
          <w:p w:rsidR="006B0FD9" w:rsidRPr="00C82A8B" w:rsidRDefault="00082D75" w:rsidP="004B1E10">
            <w:pPr>
              <w:tabs>
                <w:tab w:val="left" w:pos="9360"/>
              </w:tabs>
              <w:spacing w:after="120"/>
              <w:rPr>
                <w:rFonts w:ascii="Book Antiqua" w:hAnsi="Book Antiqua"/>
                <w:b/>
                <w:sz w:val="20"/>
                <w:szCs w:val="20"/>
              </w:rPr>
            </w:pPr>
            <w:r w:rsidRPr="00C82A8B">
              <w:rPr>
                <w:rFonts w:ascii="Book Antiqua" w:hAnsi="Book Antiqua"/>
                <w:b/>
                <w:sz w:val="20"/>
                <w:szCs w:val="20"/>
              </w:rPr>
              <w:t>New Jersey (3)</w:t>
            </w:r>
          </w:p>
        </w:tc>
        <w:tc>
          <w:tcPr>
            <w:tcW w:w="2203" w:type="dxa"/>
            <w:shd w:val="clear" w:color="auto" w:fill="A6A6A6" w:themeFill="background1" w:themeFillShade="A6"/>
          </w:tcPr>
          <w:p w:rsidR="006B0FD9" w:rsidRPr="00C82A8B" w:rsidRDefault="00D34AB5" w:rsidP="004B1E10">
            <w:pPr>
              <w:tabs>
                <w:tab w:val="left" w:pos="9360"/>
              </w:tabs>
              <w:spacing w:after="120"/>
              <w:rPr>
                <w:rFonts w:ascii="Book Antiqua" w:hAnsi="Book Antiqua"/>
                <w:b/>
                <w:sz w:val="20"/>
                <w:szCs w:val="20"/>
              </w:rPr>
            </w:pPr>
            <w:r w:rsidRPr="00C82A8B">
              <w:rPr>
                <w:rFonts w:ascii="Book Antiqua" w:hAnsi="Book Antiqua"/>
                <w:b/>
                <w:sz w:val="20"/>
                <w:szCs w:val="20"/>
              </w:rPr>
              <w:t>Michigan (5)</w:t>
            </w:r>
          </w:p>
        </w:tc>
        <w:tc>
          <w:tcPr>
            <w:tcW w:w="1595" w:type="dxa"/>
            <w:shd w:val="clear" w:color="auto" w:fill="A6A6A6" w:themeFill="background1" w:themeFillShade="A6"/>
          </w:tcPr>
          <w:p w:rsidR="006B0FD9" w:rsidRPr="00C82A8B" w:rsidRDefault="0073303E" w:rsidP="004B1E10">
            <w:pPr>
              <w:tabs>
                <w:tab w:val="left" w:pos="9360"/>
              </w:tabs>
              <w:spacing w:after="120"/>
              <w:rPr>
                <w:rFonts w:ascii="Book Antiqua" w:hAnsi="Book Antiqua"/>
                <w:b/>
                <w:sz w:val="20"/>
                <w:szCs w:val="20"/>
              </w:rPr>
            </w:pPr>
            <w:r w:rsidRPr="00C82A8B">
              <w:rPr>
                <w:rFonts w:ascii="Book Antiqua" w:hAnsi="Book Antiqua"/>
                <w:b/>
                <w:sz w:val="20"/>
                <w:szCs w:val="20"/>
              </w:rPr>
              <w:t>Nebraska (5)</w:t>
            </w:r>
          </w:p>
        </w:tc>
        <w:tc>
          <w:tcPr>
            <w:tcW w:w="1915" w:type="dxa"/>
            <w:shd w:val="clear" w:color="auto" w:fill="A6A6A6" w:themeFill="background1" w:themeFillShade="A6"/>
          </w:tcPr>
          <w:p w:rsidR="006B0FD9" w:rsidRPr="00C82A8B" w:rsidRDefault="009D6020" w:rsidP="004B1E10">
            <w:pPr>
              <w:tabs>
                <w:tab w:val="left" w:pos="9360"/>
              </w:tabs>
              <w:spacing w:after="120"/>
              <w:rPr>
                <w:rFonts w:ascii="Book Antiqua" w:hAnsi="Book Antiqua"/>
                <w:b/>
                <w:sz w:val="20"/>
                <w:szCs w:val="20"/>
              </w:rPr>
            </w:pPr>
            <w:r w:rsidRPr="00C82A8B">
              <w:rPr>
                <w:rFonts w:ascii="Book Antiqua" w:hAnsi="Book Antiqua"/>
                <w:b/>
                <w:sz w:val="20"/>
                <w:szCs w:val="20"/>
              </w:rPr>
              <w:t>South Dakota (5)</w:t>
            </w:r>
          </w:p>
        </w:tc>
        <w:tc>
          <w:tcPr>
            <w:tcW w:w="2045" w:type="dxa"/>
            <w:shd w:val="clear" w:color="auto" w:fill="A6A6A6" w:themeFill="background1" w:themeFillShade="A6"/>
          </w:tcPr>
          <w:p w:rsidR="006B0FD9" w:rsidRPr="00C82A8B" w:rsidRDefault="008712A6" w:rsidP="004B1E10">
            <w:pPr>
              <w:tabs>
                <w:tab w:val="left" w:pos="9360"/>
              </w:tabs>
              <w:spacing w:after="120"/>
              <w:rPr>
                <w:rFonts w:ascii="Book Antiqua" w:hAnsi="Book Antiqua"/>
                <w:b/>
                <w:sz w:val="20"/>
                <w:szCs w:val="20"/>
              </w:rPr>
            </w:pPr>
            <w:r w:rsidRPr="00C82A8B">
              <w:rPr>
                <w:rFonts w:ascii="Book Antiqua" w:hAnsi="Book Antiqua"/>
                <w:b/>
                <w:sz w:val="20"/>
                <w:szCs w:val="20"/>
              </w:rPr>
              <w:t>South Carolina (5)</w:t>
            </w:r>
          </w:p>
        </w:tc>
      </w:tr>
      <w:tr w:rsidR="006B0FD9" w:rsidRPr="00C82A8B" w:rsidTr="00EC065C">
        <w:tc>
          <w:tcPr>
            <w:tcW w:w="2160" w:type="dxa"/>
            <w:shd w:val="clear" w:color="auto" w:fill="BFBFBF" w:themeFill="background1" w:themeFillShade="BF"/>
          </w:tcPr>
          <w:p w:rsidR="006B0FD9" w:rsidRPr="00C82A8B" w:rsidRDefault="00082D75" w:rsidP="004B1E10">
            <w:pPr>
              <w:tabs>
                <w:tab w:val="left" w:pos="9360"/>
              </w:tabs>
              <w:spacing w:after="120"/>
              <w:rPr>
                <w:rFonts w:ascii="Book Antiqua" w:hAnsi="Book Antiqua"/>
                <w:b/>
                <w:sz w:val="20"/>
                <w:szCs w:val="20"/>
              </w:rPr>
            </w:pPr>
            <w:r w:rsidRPr="00C82A8B">
              <w:rPr>
                <w:rFonts w:ascii="Book Antiqua" w:hAnsi="Book Antiqua"/>
                <w:b/>
                <w:sz w:val="20"/>
                <w:szCs w:val="20"/>
              </w:rPr>
              <w:t>Alaska (4)</w:t>
            </w:r>
          </w:p>
        </w:tc>
        <w:tc>
          <w:tcPr>
            <w:tcW w:w="2203" w:type="dxa"/>
            <w:shd w:val="clear" w:color="auto" w:fill="A6A6A6" w:themeFill="background1" w:themeFillShade="A6"/>
          </w:tcPr>
          <w:p w:rsidR="006B0FD9" w:rsidRPr="00C82A8B" w:rsidRDefault="00D34AB5" w:rsidP="004B1E10">
            <w:pPr>
              <w:tabs>
                <w:tab w:val="left" w:pos="9360"/>
              </w:tabs>
              <w:spacing w:after="120"/>
              <w:rPr>
                <w:rFonts w:ascii="Book Antiqua" w:hAnsi="Book Antiqua"/>
                <w:b/>
                <w:sz w:val="20"/>
                <w:szCs w:val="20"/>
              </w:rPr>
            </w:pPr>
            <w:r w:rsidRPr="00C82A8B">
              <w:rPr>
                <w:rFonts w:ascii="Book Antiqua" w:hAnsi="Book Antiqua"/>
                <w:b/>
                <w:sz w:val="20"/>
                <w:szCs w:val="20"/>
              </w:rPr>
              <w:t>Ohio (5)</w:t>
            </w:r>
          </w:p>
        </w:tc>
        <w:tc>
          <w:tcPr>
            <w:tcW w:w="1595" w:type="dxa"/>
            <w:shd w:val="clear" w:color="auto" w:fill="A6A6A6" w:themeFill="background1" w:themeFillShade="A6"/>
          </w:tcPr>
          <w:p w:rsidR="006B0FD9" w:rsidRPr="00C82A8B" w:rsidRDefault="0073303E" w:rsidP="004B1E10">
            <w:pPr>
              <w:tabs>
                <w:tab w:val="left" w:pos="9360"/>
              </w:tabs>
              <w:spacing w:after="120"/>
              <w:rPr>
                <w:rFonts w:ascii="Book Antiqua" w:hAnsi="Book Antiqua"/>
                <w:b/>
                <w:sz w:val="20"/>
                <w:szCs w:val="20"/>
              </w:rPr>
            </w:pPr>
            <w:r w:rsidRPr="00C82A8B">
              <w:rPr>
                <w:rFonts w:ascii="Book Antiqua" w:hAnsi="Book Antiqua"/>
                <w:b/>
                <w:sz w:val="20"/>
                <w:szCs w:val="20"/>
              </w:rPr>
              <w:t>Utah (5)</w:t>
            </w:r>
          </w:p>
        </w:tc>
        <w:tc>
          <w:tcPr>
            <w:tcW w:w="1915" w:type="dxa"/>
            <w:shd w:val="clear" w:color="auto" w:fill="A6A6A6" w:themeFill="background1" w:themeFillShade="A6"/>
          </w:tcPr>
          <w:p w:rsidR="006B0FD9" w:rsidRPr="00C82A8B" w:rsidRDefault="009D6020" w:rsidP="004B1E10">
            <w:pPr>
              <w:tabs>
                <w:tab w:val="left" w:pos="9360"/>
              </w:tabs>
              <w:spacing w:after="120"/>
              <w:rPr>
                <w:rFonts w:ascii="Book Antiqua" w:hAnsi="Book Antiqua"/>
                <w:b/>
                <w:sz w:val="20"/>
                <w:szCs w:val="20"/>
              </w:rPr>
            </w:pPr>
            <w:r w:rsidRPr="00C82A8B">
              <w:rPr>
                <w:rFonts w:ascii="Book Antiqua" w:hAnsi="Book Antiqua"/>
                <w:b/>
                <w:sz w:val="20"/>
                <w:szCs w:val="20"/>
              </w:rPr>
              <w:t>Texas (5)</w:t>
            </w:r>
          </w:p>
        </w:tc>
        <w:tc>
          <w:tcPr>
            <w:tcW w:w="2045" w:type="dxa"/>
            <w:shd w:val="clear" w:color="auto" w:fill="A6A6A6" w:themeFill="background1" w:themeFillShade="A6"/>
          </w:tcPr>
          <w:p w:rsidR="006B0FD9" w:rsidRPr="00C82A8B" w:rsidRDefault="008712A6" w:rsidP="004B1E10">
            <w:pPr>
              <w:tabs>
                <w:tab w:val="left" w:pos="9360"/>
              </w:tabs>
              <w:spacing w:after="120"/>
              <w:rPr>
                <w:rFonts w:ascii="Book Antiqua" w:hAnsi="Book Antiqua"/>
                <w:b/>
                <w:sz w:val="20"/>
                <w:szCs w:val="20"/>
              </w:rPr>
            </w:pPr>
            <w:r w:rsidRPr="00C82A8B">
              <w:rPr>
                <w:rFonts w:ascii="Book Antiqua" w:hAnsi="Book Antiqua"/>
                <w:b/>
                <w:sz w:val="20"/>
                <w:szCs w:val="20"/>
              </w:rPr>
              <w:t>Virginia (5)</w:t>
            </w:r>
          </w:p>
        </w:tc>
      </w:tr>
    </w:tbl>
    <w:p w:rsidR="006B0FD9" w:rsidRPr="001B57B6" w:rsidRDefault="006B0FD9" w:rsidP="004B1E10">
      <w:pPr>
        <w:tabs>
          <w:tab w:val="left" w:pos="8640"/>
        </w:tabs>
        <w:spacing w:after="120"/>
        <w:rPr>
          <w:rFonts w:ascii="Book Antiqua" w:hAnsi="Book Antiqua"/>
          <w:sz w:val="18"/>
          <w:szCs w:val="18"/>
        </w:rPr>
      </w:pPr>
    </w:p>
    <w:p w:rsidR="006B0FD9" w:rsidRDefault="009D01F8" w:rsidP="009D01F8">
      <w:pPr>
        <w:tabs>
          <w:tab w:val="left" w:pos="8640"/>
        </w:tabs>
        <w:rPr>
          <w:rFonts w:ascii="Book Antiqua" w:hAnsi="Book Antiqua"/>
        </w:rPr>
      </w:pPr>
      <w:r>
        <w:rPr>
          <w:rFonts w:ascii="Book Antiqua" w:hAnsi="Book Antiqua"/>
        </w:rPr>
        <w:t>There emerged the simple question as to whether there was any correlation.  Thus, Table 3.</w:t>
      </w:r>
    </w:p>
    <w:p w:rsidR="006B0FD9" w:rsidRPr="005C05B9" w:rsidRDefault="006B0FD9" w:rsidP="006B0FD9">
      <w:pPr>
        <w:tabs>
          <w:tab w:val="left" w:pos="8640"/>
        </w:tabs>
        <w:spacing w:after="120"/>
        <w:jc w:val="center"/>
        <w:rPr>
          <w:rFonts w:ascii="Book Antiqua" w:hAnsi="Book Antiqua"/>
          <w:b/>
        </w:rPr>
      </w:pPr>
      <w:r w:rsidRPr="005C05B9">
        <w:rPr>
          <w:rFonts w:ascii="Book Antiqua" w:hAnsi="Book Antiqua"/>
          <w:b/>
        </w:rPr>
        <w:t>Table 3:  Race Quintiles with Average Degree of Regulation by Orientation</w:t>
      </w:r>
    </w:p>
    <w:tbl>
      <w:tblPr>
        <w:tblStyle w:val="LightShading"/>
        <w:tblW w:w="0" w:type="auto"/>
        <w:tblLook w:val="04A0"/>
      </w:tblPr>
      <w:tblGrid>
        <w:gridCol w:w="1596"/>
        <w:gridCol w:w="1596"/>
        <w:gridCol w:w="1596"/>
        <w:gridCol w:w="1596"/>
        <w:gridCol w:w="1596"/>
        <w:gridCol w:w="1596"/>
      </w:tblGrid>
      <w:tr w:rsidR="006B0FD9" w:rsidTr="006B19E5">
        <w:trPr>
          <w:cnfStyle w:val="100000000000"/>
        </w:trPr>
        <w:tc>
          <w:tcPr>
            <w:cnfStyle w:val="001000000000"/>
            <w:tcW w:w="1596" w:type="dxa"/>
          </w:tcPr>
          <w:p w:rsidR="006B0FD9" w:rsidRPr="000A1CA4" w:rsidRDefault="006B0FD9" w:rsidP="006B19E5">
            <w:pPr>
              <w:tabs>
                <w:tab w:val="left" w:pos="8640"/>
              </w:tabs>
              <w:spacing w:after="120"/>
              <w:rPr>
                <w:rFonts w:ascii="Book Antiqua" w:hAnsi="Book Antiqua"/>
                <w:b w:val="0"/>
                <w:color w:val="auto"/>
              </w:rPr>
            </w:pPr>
            <w:r w:rsidRPr="000A1CA4">
              <w:rPr>
                <w:rFonts w:ascii="Book Antiqua" w:hAnsi="Book Antiqua"/>
                <w:b w:val="0"/>
                <w:color w:val="auto"/>
              </w:rPr>
              <w:t>Race</w:t>
            </w:r>
          </w:p>
        </w:tc>
        <w:tc>
          <w:tcPr>
            <w:tcW w:w="1596" w:type="dxa"/>
          </w:tcPr>
          <w:p w:rsidR="006B0FD9" w:rsidRPr="000A1CA4" w:rsidRDefault="006B0FD9" w:rsidP="006B19E5">
            <w:pPr>
              <w:tabs>
                <w:tab w:val="left" w:pos="8640"/>
              </w:tabs>
              <w:spacing w:after="120"/>
              <w:jc w:val="center"/>
              <w:cnfStyle w:val="100000000000"/>
              <w:rPr>
                <w:rFonts w:ascii="Book Antiqua" w:hAnsi="Book Antiqua"/>
                <w:b w:val="0"/>
                <w:color w:val="auto"/>
              </w:rPr>
            </w:pPr>
            <w:r w:rsidRPr="000A1CA4">
              <w:rPr>
                <w:rFonts w:ascii="Book Antiqua" w:hAnsi="Book Antiqua"/>
                <w:b w:val="0"/>
                <w:color w:val="auto"/>
              </w:rPr>
              <w:t>1</w:t>
            </w:r>
          </w:p>
        </w:tc>
        <w:tc>
          <w:tcPr>
            <w:tcW w:w="1596" w:type="dxa"/>
          </w:tcPr>
          <w:p w:rsidR="006B0FD9" w:rsidRPr="000A1CA4" w:rsidRDefault="006B0FD9" w:rsidP="006B19E5">
            <w:pPr>
              <w:tabs>
                <w:tab w:val="left" w:pos="8640"/>
              </w:tabs>
              <w:spacing w:after="120"/>
              <w:jc w:val="center"/>
              <w:cnfStyle w:val="100000000000"/>
              <w:rPr>
                <w:rFonts w:ascii="Book Antiqua" w:hAnsi="Book Antiqua"/>
                <w:b w:val="0"/>
                <w:color w:val="auto"/>
              </w:rPr>
            </w:pPr>
            <w:r w:rsidRPr="000A1CA4">
              <w:rPr>
                <w:rFonts w:ascii="Book Antiqua" w:hAnsi="Book Antiqua"/>
                <w:b w:val="0"/>
                <w:color w:val="auto"/>
              </w:rPr>
              <w:t>2</w:t>
            </w:r>
          </w:p>
        </w:tc>
        <w:tc>
          <w:tcPr>
            <w:tcW w:w="1596" w:type="dxa"/>
          </w:tcPr>
          <w:p w:rsidR="006B0FD9" w:rsidRPr="000A1CA4" w:rsidRDefault="006B0FD9" w:rsidP="006B19E5">
            <w:pPr>
              <w:tabs>
                <w:tab w:val="left" w:pos="8640"/>
              </w:tabs>
              <w:spacing w:after="120"/>
              <w:jc w:val="center"/>
              <w:cnfStyle w:val="100000000000"/>
              <w:rPr>
                <w:rFonts w:ascii="Book Antiqua" w:hAnsi="Book Antiqua"/>
                <w:b w:val="0"/>
                <w:color w:val="auto"/>
              </w:rPr>
            </w:pPr>
            <w:r w:rsidRPr="000A1CA4">
              <w:rPr>
                <w:rFonts w:ascii="Book Antiqua" w:hAnsi="Book Antiqua"/>
                <w:b w:val="0"/>
                <w:color w:val="auto"/>
              </w:rPr>
              <w:t>3</w:t>
            </w:r>
          </w:p>
        </w:tc>
        <w:tc>
          <w:tcPr>
            <w:tcW w:w="1596" w:type="dxa"/>
          </w:tcPr>
          <w:p w:rsidR="006B0FD9" w:rsidRPr="000A1CA4" w:rsidRDefault="006B0FD9" w:rsidP="006B19E5">
            <w:pPr>
              <w:tabs>
                <w:tab w:val="left" w:pos="8640"/>
              </w:tabs>
              <w:spacing w:after="120"/>
              <w:jc w:val="center"/>
              <w:cnfStyle w:val="100000000000"/>
              <w:rPr>
                <w:rFonts w:ascii="Book Antiqua" w:hAnsi="Book Antiqua"/>
                <w:b w:val="0"/>
                <w:color w:val="auto"/>
              </w:rPr>
            </w:pPr>
            <w:r w:rsidRPr="000A1CA4">
              <w:rPr>
                <w:rFonts w:ascii="Book Antiqua" w:hAnsi="Book Antiqua"/>
                <w:b w:val="0"/>
                <w:color w:val="auto"/>
              </w:rPr>
              <w:t>4</w:t>
            </w:r>
          </w:p>
        </w:tc>
        <w:tc>
          <w:tcPr>
            <w:tcW w:w="1596" w:type="dxa"/>
          </w:tcPr>
          <w:p w:rsidR="006B0FD9" w:rsidRPr="000A1CA4" w:rsidRDefault="006B0FD9" w:rsidP="006B19E5">
            <w:pPr>
              <w:tabs>
                <w:tab w:val="left" w:pos="8640"/>
              </w:tabs>
              <w:spacing w:after="120"/>
              <w:jc w:val="center"/>
              <w:cnfStyle w:val="100000000000"/>
              <w:rPr>
                <w:rFonts w:ascii="Book Antiqua" w:hAnsi="Book Antiqua"/>
                <w:b w:val="0"/>
                <w:color w:val="auto"/>
              </w:rPr>
            </w:pPr>
            <w:r w:rsidRPr="000A1CA4">
              <w:rPr>
                <w:rFonts w:ascii="Book Antiqua" w:hAnsi="Book Antiqua"/>
                <w:b w:val="0"/>
                <w:color w:val="auto"/>
              </w:rPr>
              <w:t>5</w:t>
            </w:r>
          </w:p>
        </w:tc>
      </w:tr>
      <w:tr w:rsidR="006B0FD9" w:rsidTr="006B19E5">
        <w:trPr>
          <w:cnfStyle w:val="000000100000"/>
        </w:trPr>
        <w:tc>
          <w:tcPr>
            <w:cnfStyle w:val="001000000000"/>
            <w:tcW w:w="1596" w:type="dxa"/>
          </w:tcPr>
          <w:p w:rsidR="006B0FD9" w:rsidRPr="000A1CA4" w:rsidRDefault="006B0FD9" w:rsidP="006B19E5">
            <w:pPr>
              <w:tabs>
                <w:tab w:val="left" w:pos="8640"/>
              </w:tabs>
              <w:spacing w:after="120"/>
              <w:rPr>
                <w:rFonts w:ascii="Book Antiqua" w:hAnsi="Book Antiqua"/>
                <w:b w:val="0"/>
                <w:color w:val="auto"/>
              </w:rPr>
            </w:pPr>
            <w:r w:rsidRPr="000A1CA4">
              <w:rPr>
                <w:rFonts w:ascii="Book Antiqua" w:hAnsi="Book Antiqua"/>
                <w:b w:val="0"/>
              </w:rPr>
              <w:t>Orientation</w:t>
            </w:r>
          </w:p>
        </w:tc>
        <w:tc>
          <w:tcPr>
            <w:tcW w:w="1596" w:type="dxa"/>
          </w:tcPr>
          <w:p w:rsidR="006B0FD9" w:rsidRPr="000A1CA4" w:rsidRDefault="006B0FD9" w:rsidP="006B19E5">
            <w:pPr>
              <w:tabs>
                <w:tab w:val="left" w:pos="8640"/>
              </w:tabs>
              <w:spacing w:after="120"/>
              <w:jc w:val="center"/>
              <w:cnfStyle w:val="000000100000"/>
              <w:rPr>
                <w:rFonts w:ascii="Book Antiqua" w:hAnsi="Book Antiqua"/>
                <w:b/>
                <w:color w:val="auto"/>
              </w:rPr>
            </w:pPr>
            <w:r>
              <w:rPr>
                <w:rFonts w:ascii="Book Antiqua" w:hAnsi="Book Antiqua"/>
                <w:b/>
              </w:rPr>
              <w:t>1.8</w:t>
            </w:r>
          </w:p>
        </w:tc>
        <w:tc>
          <w:tcPr>
            <w:tcW w:w="1596" w:type="dxa"/>
          </w:tcPr>
          <w:p w:rsidR="006B0FD9" w:rsidRPr="000A1CA4" w:rsidRDefault="006B0FD9" w:rsidP="006B19E5">
            <w:pPr>
              <w:tabs>
                <w:tab w:val="left" w:pos="8640"/>
              </w:tabs>
              <w:spacing w:after="120"/>
              <w:jc w:val="center"/>
              <w:cnfStyle w:val="000000100000"/>
              <w:rPr>
                <w:rFonts w:ascii="Book Antiqua" w:hAnsi="Book Antiqua"/>
                <w:b/>
                <w:color w:val="auto"/>
              </w:rPr>
            </w:pPr>
            <w:r>
              <w:rPr>
                <w:rFonts w:ascii="Book Antiqua" w:hAnsi="Book Antiqua"/>
                <w:b/>
              </w:rPr>
              <w:t>2.9</w:t>
            </w:r>
          </w:p>
        </w:tc>
        <w:tc>
          <w:tcPr>
            <w:tcW w:w="1596" w:type="dxa"/>
          </w:tcPr>
          <w:p w:rsidR="006B0FD9" w:rsidRPr="000A1CA4" w:rsidRDefault="006B0FD9" w:rsidP="006B19E5">
            <w:pPr>
              <w:tabs>
                <w:tab w:val="left" w:pos="8640"/>
              </w:tabs>
              <w:spacing w:after="120"/>
              <w:jc w:val="center"/>
              <w:cnfStyle w:val="000000100000"/>
              <w:rPr>
                <w:rFonts w:ascii="Book Antiqua" w:hAnsi="Book Antiqua"/>
                <w:b/>
                <w:color w:val="auto"/>
              </w:rPr>
            </w:pPr>
            <w:r>
              <w:rPr>
                <w:rFonts w:ascii="Book Antiqua" w:hAnsi="Book Antiqua"/>
                <w:b/>
              </w:rPr>
              <w:t>3.4</w:t>
            </w:r>
          </w:p>
        </w:tc>
        <w:tc>
          <w:tcPr>
            <w:tcW w:w="1596" w:type="dxa"/>
          </w:tcPr>
          <w:p w:rsidR="006B0FD9" w:rsidRPr="000A1CA4" w:rsidRDefault="006B0FD9" w:rsidP="006B19E5">
            <w:pPr>
              <w:tabs>
                <w:tab w:val="left" w:pos="8640"/>
              </w:tabs>
              <w:spacing w:after="120"/>
              <w:jc w:val="center"/>
              <w:cnfStyle w:val="000000100000"/>
              <w:rPr>
                <w:rFonts w:ascii="Book Antiqua" w:hAnsi="Book Antiqua"/>
                <w:b/>
                <w:color w:val="auto"/>
              </w:rPr>
            </w:pPr>
            <w:r>
              <w:rPr>
                <w:rFonts w:ascii="Book Antiqua" w:hAnsi="Book Antiqua"/>
                <w:b/>
              </w:rPr>
              <w:t>4.4</w:t>
            </w:r>
          </w:p>
        </w:tc>
        <w:tc>
          <w:tcPr>
            <w:tcW w:w="1596" w:type="dxa"/>
          </w:tcPr>
          <w:p w:rsidR="006B0FD9" w:rsidRPr="000A1CA4" w:rsidRDefault="006B0FD9" w:rsidP="006B19E5">
            <w:pPr>
              <w:tabs>
                <w:tab w:val="left" w:pos="8640"/>
              </w:tabs>
              <w:spacing w:after="120"/>
              <w:jc w:val="center"/>
              <w:cnfStyle w:val="000000100000"/>
              <w:rPr>
                <w:rFonts w:ascii="Book Antiqua" w:hAnsi="Book Antiqua"/>
                <w:b/>
                <w:color w:val="auto"/>
              </w:rPr>
            </w:pPr>
            <w:r>
              <w:rPr>
                <w:rFonts w:ascii="Book Antiqua" w:hAnsi="Book Antiqua"/>
                <w:b/>
              </w:rPr>
              <w:t>4.</w:t>
            </w:r>
            <w:r w:rsidR="009D2DE2">
              <w:rPr>
                <w:rFonts w:ascii="Book Antiqua" w:hAnsi="Book Antiqua"/>
                <w:b/>
              </w:rPr>
              <w:t>3</w:t>
            </w:r>
          </w:p>
        </w:tc>
      </w:tr>
    </w:tbl>
    <w:p w:rsidR="005E36CA" w:rsidRDefault="00C87386" w:rsidP="001B57B6">
      <w:pPr>
        <w:tabs>
          <w:tab w:val="left" w:pos="0"/>
        </w:tabs>
        <w:spacing w:after="120"/>
        <w:rPr>
          <w:rFonts w:ascii="Book Antiqua" w:hAnsi="Book Antiqua"/>
        </w:rPr>
      </w:pPr>
      <w:r>
        <w:rPr>
          <w:rFonts w:ascii="Book Antiqua" w:hAnsi="Book Antiqua"/>
          <w:b/>
          <w:color w:val="FF0000"/>
        </w:rPr>
        <w:lastRenderedPageBreak/>
        <w:tab/>
      </w:r>
      <w:r w:rsidR="001B57B6" w:rsidRPr="001B57B6">
        <w:rPr>
          <w:rFonts w:ascii="Book Antiqua" w:hAnsi="Book Antiqua"/>
        </w:rPr>
        <w:t>My simple suggestion on the basis of this data is that there are patterns of prudential judgment that remain consistent over time.</w:t>
      </w:r>
      <w:r w:rsidR="001B57B6">
        <w:rPr>
          <w:rFonts w:ascii="Book Antiqua" w:hAnsi="Book Antiqua"/>
        </w:rPr>
        <w:t xml:space="preserve">  There is no pretense of precision here, in part because of significant demographic changes</w:t>
      </w:r>
      <w:r w:rsidR="00806173">
        <w:rPr>
          <w:rFonts w:ascii="Book Antiqua" w:hAnsi="Book Antiqua"/>
        </w:rPr>
        <w:t xml:space="preserve">, which have been dramatic in </w:t>
      </w:r>
      <w:r w:rsidR="004B1E10">
        <w:rPr>
          <w:rFonts w:ascii="Book Antiqua" w:hAnsi="Book Antiqua"/>
        </w:rPr>
        <w:t xml:space="preserve">border states like Delaware, </w:t>
      </w:r>
      <w:r w:rsidR="00806173">
        <w:rPr>
          <w:rFonts w:ascii="Book Antiqua" w:hAnsi="Book Antiqua"/>
        </w:rPr>
        <w:t>Maryland</w:t>
      </w:r>
      <w:r w:rsidR="004B1E10">
        <w:rPr>
          <w:rFonts w:ascii="Book Antiqua" w:hAnsi="Book Antiqua"/>
        </w:rPr>
        <w:t>, and North Carolina</w:t>
      </w:r>
      <w:r w:rsidR="00B9613C">
        <w:rPr>
          <w:rFonts w:ascii="Book Antiqua" w:hAnsi="Book Antiqua"/>
        </w:rPr>
        <w:t>, for example</w:t>
      </w:r>
      <w:r w:rsidR="00806173">
        <w:rPr>
          <w:rFonts w:ascii="Book Antiqua" w:hAnsi="Book Antiqua"/>
        </w:rPr>
        <w:t xml:space="preserve">.  Nevertheless, there does seem to be a pattern.  Regions that tended toward the highest degree of prohibition of interracial marriage also tend toward </w:t>
      </w:r>
      <w:r w:rsidR="00B9613C">
        <w:rPr>
          <w:rFonts w:ascii="Book Antiqua" w:hAnsi="Book Antiqua"/>
        </w:rPr>
        <w:t xml:space="preserve">a high degree of </w:t>
      </w:r>
      <w:r w:rsidR="00806173">
        <w:rPr>
          <w:rFonts w:ascii="Book Antiqua" w:hAnsi="Book Antiqua"/>
        </w:rPr>
        <w:t xml:space="preserve">restriction of same-sex unions.  What this seems to suggest is the presence of culture-based evaluations of the meaning of both human flourishing and social disorder that shape the </w:t>
      </w:r>
      <w:r w:rsidR="00E015EC">
        <w:rPr>
          <w:rFonts w:ascii="Book Antiqua" w:hAnsi="Book Antiqua"/>
        </w:rPr>
        <w:t>exercise of prudential judgment regarding marriage.</w:t>
      </w:r>
    </w:p>
    <w:p w:rsidR="00806173" w:rsidRPr="001B57B6" w:rsidRDefault="00806173" w:rsidP="001B57B6">
      <w:pPr>
        <w:tabs>
          <w:tab w:val="left" w:pos="0"/>
        </w:tabs>
        <w:spacing w:after="120"/>
        <w:rPr>
          <w:rFonts w:ascii="Book Antiqua" w:hAnsi="Book Antiqua"/>
        </w:rPr>
      </w:pPr>
      <w:r>
        <w:rPr>
          <w:rFonts w:ascii="Book Antiqua" w:hAnsi="Book Antiqua"/>
        </w:rPr>
        <w:tab/>
        <w:t>All of which is simply to underline the fact that prudential judgment is precisely what is at issue here.</w:t>
      </w:r>
      <w:r w:rsidR="00B9613C">
        <w:rPr>
          <w:rFonts w:ascii="Book Antiqua" w:hAnsi="Book Antiqua"/>
        </w:rPr>
        <w:t xml:space="preserve">  Different persons in different places at different times will have different degrees of familiarity with persons belonging to minority populations, and thus consequently different degrees of concern for their flourishing; they will have, as well, different degrees of fear of different kinds of perceived possibilities of social disorder.  Neither allegations of bigotry </w:t>
      </w:r>
      <w:r w:rsidR="0046265F">
        <w:rPr>
          <w:rFonts w:ascii="Book Antiqua" w:hAnsi="Book Antiqua"/>
        </w:rPr>
        <w:t>n</w:t>
      </w:r>
      <w:r w:rsidR="00B9613C">
        <w:rPr>
          <w:rFonts w:ascii="Book Antiqua" w:hAnsi="Book Antiqua"/>
        </w:rPr>
        <w:t>or heresy are helpful here; and, being unhelpful, neither are particularly prudent.</w:t>
      </w:r>
    </w:p>
    <w:p w:rsidR="006B0FD9" w:rsidRDefault="00B9613C" w:rsidP="004F645C">
      <w:pPr>
        <w:tabs>
          <w:tab w:val="left" w:pos="0"/>
        </w:tabs>
        <w:spacing w:after="120"/>
        <w:rPr>
          <w:rFonts w:ascii="Book Antiqua" w:hAnsi="Book Antiqua"/>
        </w:rPr>
      </w:pPr>
      <w:r>
        <w:rPr>
          <w:rFonts w:ascii="Book Antiqua" w:hAnsi="Book Antiqua"/>
        </w:rPr>
        <w:tab/>
        <w:t xml:space="preserve">This </w:t>
      </w:r>
      <w:r w:rsidRPr="00B9613C">
        <w:rPr>
          <w:rFonts w:ascii="Book Antiqua" w:hAnsi="Book Antiqua"/>
          <w:i/>
        </w:rPr>
        <w:t>is</w:t>
      </w:r>
      <w:r>
        <w:rPr>
          <w:rFonts w:ascii="Book Antiqua" w:hAnsi="Book Antiqua"/>
        </w:rPr>
        <w:t xml:space="preserve"> a political issue, and it seems shameful to make judgments of faith about persons on the basis of differing judgments of political prudence.</w:t>
      </w:r>
      <w:r w:rsidR="009C464B">
        <w:rPr>
          <w:rFonts w:ascii="Book Antiqua" w:hAnsi="Book Antiqua"/>
        </w:rPr>
        <w:t xml:space="preserve">  Such judgments only increase disorder and diminish flourishing of both persons and communitie</w:t>
      </w:r>
      <w:r w:rsidR="0046265F">
        <w:rPr>
          <w:rFonts w:ascii="Book Antiqua" w:hAnsi="Book Antiqua"/>
        </w:rPr>
        <w:t>s.  Failure to recognize that prudence is the issue here, in other words, leads to highly imprudent actions.</w:t>
      </w:r>
    </w:p>
    <w:p w:rsidR="00AA78D8" w:rsidRPr="009C464B" w:rsidRDefault="009C464B" w:rsidP="009C464B">
      <w:pPr>
        <w:tabs>
          <w:tab w:val="left" w:pos="0"/>
        </w:tabs>
        <w:spacing w:after="120"/>
        <w:rPr>
          <w:rFonts w:ascii="Book Antiqua" w:hAnsi="Book Antiqua"/>
        </w:rPr>
      </w:pPr>
      <w:r>
        <w:rPr>
          <w:rFonts w:ascii="Book Antiqua" w:hAnsi="Book Antiqua"/>
        </w:rPr>
        <w:tab/>
        <w:t>But prudence is not only a political virtue; indeed it is primarily personal.  Realizing how long it has been since I have given significant consideration to this quest</w:t>
      </w:r>
      <w:r w:rsidR="008645D4">
        <w:rPr>
          <w:rFonts w:ascii="Book Antiqua" w:hAnsi="Book Antiqua"/>
        </w:rPr>
        <w:t xml:space="preserve">ion, and sensing that it may not be </w:t>
      </w:r>
      <w:r>
        <w:rPr>
          <w:rFonts w:ascii="Book Antiqua" w:hAnsi="Book Antiqua"/>
        </w:rPr>
        <w:t>a matter to which you have given significan</w:t>
      </w:r>
      <w:r w:rsidR="007F5CAB">
        <w:rPr>
          <w:rFonts w:ascii="Book Antiqua" w:hAnsi="Book Antiqua"/>
        </w:rPr>
        <w:t>t consideration recently, I have needed</w:t>
      </w:r>
      <w:r>
        <w:rPr>
          <w:rFonts w:ascii="Book Antiqua" w:hAnsi="Book Antiqua"/>
        </w:rPr>
        <w:t xml:space="preserve"> to review the understanding of that virtue in the tradition that has nurtured me</w:t>
      </w:r>
      <w:r w:rsidR="002466FA">
        <w:rPr>
          <w:rFonts w:ascii="Book Antiqua" w:hAnsi="Book Antiqua"/>
        </w:rPr>
        <w:t xml:space="preserve"> in order to be </w:t>
      </w:r>
      <w:r w:rsidR="007F5CAB">
        <w:rPr>
          <w:rFonts w:ascii="Book Antiqua" w:hAnsi="Book Antiqua"/>
        </w:rPr>
        <w:t>sure of my footing;</w:t>
      </w:r>
      <w:r w:rsidR="006366C3">
        <w:rPr>
          <w:rFonts w:ascii="Book Antiqua" w:hAnsi="Book Antiqua"/>
        </w:rPr>
        <w:t xml:space="preserve"> </w:t>
      </w:r>
      <w:r w:rsidR="007F5CAB">
        <w:rPr>
          <w:rFonts w:ascii="Book Antiqua" w:hAnsi="Book Antiqua"/>
        </w:rPr>
        <w:t>following such review, I will</w:t>
      </w:r>
      <w:r w:rsidR="006366C3">
        <w:rPr>
          <w:rFonts w:ascii="Book Antiqua" w:hAnsi="Book Antiqua"/>
        </w:rPr>
        <w:t xml:space="preserve"> return to the political question in </w:t>
      </w:r>
      <w:r w:rsidR="007F5CAB">
        <w:rPr>
          <w:rFonts w:ascii="Book Antiqua" w:hAnsi="Book Antiqua"/>
        </w:rPr>
        <w:t>its light.</w:t>
      </w:r>
    </w:p>
    <w:p w:rsidR="00AA78D8" w:rsidRPr="00AA78D8" w:rsidRDefault="00AA78D8" w:rsidP="004830BF">
      <w:pPr>
        <w:tabs>
          <w:tab w:val="left" w:pos="0"/>
        </w:tabs>
        <w:spacing w:after="120"/>
        <w:ind w:firstLine="720"/>
        <w:rPr>
          <w:rFonts w:ascii="Book Antiqua" w:hAnsi="Book Antiqua"/>
        </w:rPr>
      </w:pPr>
      <w:r w:rsidRPr="00AA78D8">
        <w:rPr>
          <w:rFonts w:ascii="Book Antiqua" w:hAnsi="Book Antiqua"/>
        </w:rPr>
        <w:t xml:space="preserve">The initial consideration of </w:t>
      </w:r>
      <w:r w:rsidRPr="004033D7">
        <w:rPr>
          <w:rFonts w:ascii="Book Antiqua" w:hAnsi="Book Antiqua"/>
        </w:rPr>
        <w:t>prudence</w:t>
      </w:r>
      <w:r w:rsidRPr="00AA78D8">
        <w:rPr>
          <w:rFonts w:ascii="Book Antiqua" w:hAnsi="Book Antiqua"/>
          <w:b/>
        </w:rPr>
        <w:t xml:space="preserve"> </w:t>
      </w:r>
      <w:r w:rsidRPr="00AA78D8">
        <w:rPr>
          <w:rFonts w:ascii="Book Antiqua" w:hAnsi="Book Antiqua"/>
        </w:rPr>
        <w:t xml:space="preserve">in the </w:t>
      </w:r>
      <w:r w:rsidRPr="00AA78D8">
        <w:rPr>
          <w:rFonts w:ascii="Book Antiqua" w:hAnsi="Book Antiqua"/>
          <w:i/>
        </w:rPr>
        <w:t>Summa Theologiae</w:t>
      </w:r>
      <w:r w:rsidRPr="00AA78D8">
        <w:rPr>
          <w:rFonts w:ascii="Book Antiqua" w:hAnsi="Book Antiqua"/>
        </w:rPr>
        <w:t xml:space="preserve"> comes in question 57 of the </w:t>
      </w:r>
      <w:r w:rsidRPr="00AA78D8">
        <w:rPr>
          <w:rFonts w:ascii="Book Antiqua" w:hAnsi="Book Antiqua"/>
          <w:i/>
        </w:rPr>
        <w:t>prima secundae</w:t>
      </w:r>
      <w:r w:rsidRPr="00AA78D8">
        <w:rPr>
          <w:rFonts w:ascii="Book Antiqua" w:hAnsi="Book Antiqua"/>
        </w:rPr>
        <w:t xml:space="preserve">, where St. Thomas treats the intellectual virtues in general; the key affirmations at that point concern the necessity of prudence, and its differentiation from art.  Explicit and extended analysis is made in questions 47 through 56 of the </w:t>
      </w:r>
      <w:r w:rsidRPr="00AA78D8">
        <w:rPr>
          <w:rFonts w:ascii="Book Antiqua" w:hAnsi="Book Antiqua"/>
          <w:i/>
        </w:rPr>
        <w:t>secunda secundae</w:t>
      </w:r>
      <w:r w:rsidRPr="00AA78D8">
        <w:rPr>
          <w:rFonts w:ascii="Book Antiqua" w:hAnsi="Book Antiqua"/>
        </w:rPr>
        <w:t>, where Thomas delineates not only the nature of the virtue in itself, but also its integral and subjective parts as well as its relation to the gift of counsel.  Clarification by contrast is offered in an analysis of vices opposed to prudence.</w:t>
      </w:r>
    </w:p>
    <w:p w:rsidR="00AA78D8" w:rsidRPr="00AA78D8" w:rsidRDefault="00AA78D8" w:rsidP="004830BF">
      <w:pPr>
        <w:tabs>
          <w:tab w:val="left" w:pos="0"/>
        </w:tabs>
        <w:spacing w:after="120"/>
        <w:ind w:firstLine="720"/>
        <w:rPr>
          <w:rFonts w:ascii="Book Antiqua" w:hAnsi="Book Antiqua"/>
        </w:rPr>
      </w:pPr>
      <w:r w:rsidRPr="00AA78D8">
        <w:rPr>
          <w:rFonts w:ascii="Book Antiqua" w:hAnsi="Book Antiqua"/>
        </w:rPr>
        <w:t>The essential definition of the virtu</w:t>
      </w:r>
      <w:r w:rsidR="00A15AD5">
        <w:rPr>
          <w:rFonts w:ascii="Book Antiqua" w:hAnsi="Book Antiqua"/>
        </w:rPr>
        <w:t>e is taken from Aristotle</w:t>
      </w:r>
      <w:r w:rsidRPr="00AA78D8">
        <w:rPr>
          <w:rFonts w:ascii="Book Antiqua" w:hAnsi="Book Antiqua"/>
        </w:rPr>
        <w:t>:  “Prudence is right reason applied to action</w:t>
      </w:r>
      <w:r w:rsidR="00A15AD5">
        <w:rPr>
          <w:rFonts w:ascii="Book Antiqua" w:hAnsi="Book Antiqua"/>
        </w:rPr>
        <w:t>.</w:t>
      </w:r>
      <w:r w:rsidRPr="00AA78D8">
        <w:rPr>
          <w:rFonts w:ascii="Book Antiqua" w:hAnsi="Book Antiqua"/>
        </w:rPr>
        <w:t>”</w:t>
      </w:r>
      <w:r w:rsidR="00A15AD5">
        <w:rPr>
          <w:rStyle w:val="FootnoteReference"/>
          <w:rFonts w:ascii="Book Antiqua" w:hAnsi="Book Antiqua"/>
        </w:rPr>
        <w:footnoteReference w:id="233"/>
      </w:r>
      <w:r w:rsidR="00A15AD5">
        <w:rPr>
          <w:rFonts w:ascii="Book Antiqua" w:hAnsi="Book Antiqua"/>
        </w:rPr>
        <w:t xml:space="preserve">  </w:t>
      </w:r>
      <w:r w:rsidRPr="00AA78D8">
        <w:rPr>
          <w:rFonts w:ascii="Book Antiqua" w:hAnsi="Book Antiqua"/>
        </w:rPr>
        <w:t>By definition, then, it is an</w:t>
      </w:r>
      <w:r w:rsidRPr="00AA78D8">
        <w:rPr>
          <w:rFonts w:ascii="Book Antiqua" w:hAnsi="Book Antiqua"/>
          <w:b/>
        </w:rPr>
        <w:t xml:space="preserve"> </w:t>
      </w:r>
      <w:r w:rsidRPr="004033D7">
        <w:rPr>
          <w:rFonts w:ascii="Book Antiqua" w:hAnsi="Book Antiqua"/>
          <w:i/>
        </w:rPr>
        <w:t>intellectual</w:t>
      </w:r>
      <w:r w:rsidRPr="00AA78D8">
        <w:rPr>
          <w:rFonts w:ascii="Book Antiqua" w:hAnsi="Book Antiqua"/>
        </w:rPr>
        <w:t xml:space="preserve"> virtue in that it pertains to the cognitive</w:t>
      </w:r>
      <w:r w:rsidR="00A15AD5">
        <w:rPr>
          <w:rFonts w:ascii="Book Antiqua" w:hAnsi="Book Antiqua"/>
        </w:rPr>
        <w:t>, not appetitive, faculty</w:t>
      </w:r>
      <w:r w:rsidR="00F53721">
        <w:rPr>
          <w:rFonts w:ascii="Book Antiqua" w:hAnsi="Book Antiqua"/>
        </w:rPr>
        <w:t>;</w:t>
      </w:r>
      <w:r w:rsidR="00A15AD5">
        <w:rPr>
          <w:rStyle w:val="FootnoteReference"/>
          <w:rFonts w:ascii="Book Antiqua" w:hAnsi="Book Antiqua"/>
        </w:rPr>
        <w:footnoteReference w:id="234"/>
      </w:r>
      <w:r w:rsidRPr="00AA78D8">
        <w:rPr>
          <w:rFonts w:ascii="Book Antiqua" w:hAnsi="Book Antiqua"/>
        </w:rPr>
        <w:t xml:space="preserve"> it is essentially a matter of knowledge.  Nevertheless, its value lies in the application of this knowledge to action, and, therefore, it belongs to </w:t>
      </w:r>
      <w:r w:rsidRPr="004033D7">
        <w:rPr>
          <w:rFonts w:ascii="Book Antiqua" w:hAnsi="Book Antiqua"/>
          <w:i/>
        </w:rPr>
        <w:t>practical</w:t>
      </w:r>
      <w:r w:rsidRPr="00AA78D8">
        <w:rPr>
          <w:rFonts w:ascii="Book Antiqua" w:hAnsi="Book Antiqua"/>
        </w:rPr>
        <w:t xml:space="preserve">, not speculative, reason.  As practical, prudence involves not only a knowledge of universal principles but also of the highly concrete and utterly unique situations in which one must act; </w:t>
      </w:r>
      <w:r w:rsidRPr="00AA78D8">
        <w:rPr>
          <w:rFonts w:ascii="Book Antiqua" w:hAnsi="Book Antiqua"/>
        </w:rPr>
        <w:lastRenderedPageBreak/>
        <w:t>thus, the prudent person must take cognizance of singulars, for “actions are in singular matters</w:t>
      </w:r>
      <w:r w:rsidR="00A15AD5">
        <w:rPr>
          <w:rFonts w:ascii="Book Antiqua" w:hAnsi="Book Antiqua"/>
        </w:rPr>
        <w:t>.”</w:t>
      </w:r>
      <w:r w:rsidR="00A15AD5">
        <w:rPr>
          <w:rStyle w:val="FootnoteReference"/>
          <w:rFonts w:ascii="Book Antiqua" w:hAnsi="Book Antiqua"/>
        </w:rPr>
        <w:footnoteReference w:id="235"/>
      </w:r>
    </w:p>
    <w:p w:rsidR="00AA78D8" w:rsidRPr="00AA78D8" w:rsidRDefault="00AA78D8" w:rsidP="004830BF">
      <w:pPr>
        <w:tabs>
          <w:tab w:val="left" w:pos="0"/>
        </w:tabs>
        <w:spacing w:after="120"/>
        <w:ind w:firstLine="720"/>
        <w:rPr>
          <w:rFonts w:ascii="Book Antiqua" w:hAnsi="Book Antiqua"/>
        </w:rPr>
      </w:pPr>
      <w:r w:rsidRPr="00AA78D8">
        <w:rPr>
          <w:rFonts w:ascii="Book Antiqua" w:hAnsi="Book Antiqua"/>
        </w:rPr>
        <w:t>The meaning of this virtue, as defined, is clarified by a three-fold differentiation from other virtues</w:t>
      </w:r>
      <w:r w:rsidR="00642FF2">
        <w:rPr>
          <w:rFonts w:ascii="Book Antiqua" w:hAnsi="Book Antiqua"/>
        </w:rPr>
        <w:t>.</w:t>
      </w:r>
      <w:r w:rsidR="00642FF2">
        <w:rPr>
          <w:rStyle w:val="FootnoteReference"/>
          <w:rFonts w:ascii="Book Antiqua" w:hAnsi="Book Antiqua"/>
        </w:rPr>
        <w:footnoteReference w:id="236"/>
      </w:r>
      <w:r w:rsidR="00642FF2">
        <w:rPr>
          <w:rFonts w:ascii="Book Antiqua" w:hAnsi="Book Antiqua"/>
        </w:rPr>
        <w:t xml:space="preserve">  </w:t>
      </w:r>
      <w:r w:rsidRPr="00AA78D8">
        <w:rPr>
          <w:rFonts w:ascii="Book Antiqua" w:hAnsi="Book Antiqua"/>
        </w:rPr>
        <w:t xml:space="preserve">First, in that prudence regards concrete </w:t>
      </w:r>
      <w:r w:rsidRPr="004033D7">
        <w:rPr>
          <w:rFonts w:ascii="Book Antiqua" w:hAnsi="Book Antiqua"/>
          <w:i/>
        </w:rPr>
        <w:t>contingent</w:t>
      </w:r>
      <w:r w:rsidRPr="00AA78D8">
        <w:rPr>
          <w:rFonts w:ascii="Book Antiqua" w:hAnsi="Book Antiqua"/>
        </w:rPr>
        <w:t xml:space="preserve"> things, its objects are materially distinct from those of wisdom, knowledge and understanding which regard necessary things.  Secondly, while art is also in the practical reason and also regards contingent things, it too is materially distinct from prudence; the difference is that whereas art regards things that are made, prudence regards things that are </w:t>
      </w:r>
      <w:r w:rsidRPr="004033D7">
        <w:rPr>
          <w:rFonts w:ascii="Book Antiqua" w:hAnsi="Book Antiqua"/>
          <w:i/>
        </w:rPr>
        <w:t>done</w:t>
      </w:r>
      <w:r w:rsidRPr="00AA78D8">
        <w:rPr>
          <w:rFonts w:ascii="Book Antiqua" w:hAnsi="Book Antiqua"/>
        </w:rPr>
        <w:t>.  Thirdly, while prudence resembles the moral virtues</w:t>
      </w:r>
      <w:r w:rsidR="00642FF2">
        <w:rPr>
          <w:rStyle w:val="FootnoteReference"/>
          <w:rFonts w:ascii="Book Antiqua" w:hAnsi="Book Antiqua"/>
        </w:rPr>
        <w:footnoteReference w:id="237"/>
      </w:r>
      <w:r w:rsidR="00642FF2">
        <w:rPr>
          <w:rFonts w:ascii="Book Antiqua" w:hAnsi="Book Antiqua"/>
        </w:rPr>
        <w:t xml:space="preserve"> </w:t>
      </w:r>
      <w:r w:rsidRPr="00AA78D8">
        <w:rPr>
          <w:rFonts w:ascii="Book Antiqua" w:hAnsi="Book Antiqua"/>
        </w:rPr>
        <w:t xml:space="preserve">in that its value lies in application to action, it is formally distinct from them in that it is essentially rooted in the </w:t>
      </w:r>
      <w:r w:rsidRPr="004033D7">
        <w:rPr>
          <w:rFonts w:ascii="Book Antiqua" w:hAnsi="Book Antiqua"/>
          <w:i/>
        </w:rPr>
        <w:t>cognitive</w:t>
      </w:r>
      <w:r w:rsidRPr="00AA78D8">
        <w:rPr>
          <w:rFonts w:ascii="Book Antiqua" w:hAnsi="Book Antiqua"/>
          <w:b/>
        </w:rPr>
        <w:t xml:space="preserve"> </w:t>
      </w:r>
      <w:r w:rsidRPr="00AA78D8">
        <w:rPr>
          <w:rFonts w:ascii="Book Antiqua" w:hAnsi="Book Antiqua"/>
        </w:rPr>
        <w:t>faculty whereas the moral virtues are rooted in the appetitive.</w:t>
      </w:r>
    </w:p>
    <w:p w:rsidR="00AA78D8" w:rsidRPr="00AA78D8" w:rsidRDefault="00AA78D8" w:rsidP="004830BF">
      <w:pPr>
        <w:tabs>
          <w:tab w:val="left" w:pos="0"/>
        </w:tabs>
        <w:spacing w:after="120"/>
        <w:ind w:firstLine="720"/>
        <w:rPr>
          <w:rFonts w:ascii="Book Antiqua" w:hAnsi="Book Antiqua"/>
        </w:rPr>
      </w:pPr>
      <w:r w:rsidRPr="00AA78D8">
        <w:rPr>
          <w:rFonts w:ascii="Book Antiqua" w:hAnsi="Book Antiqua"/>
        </w:rPr>
        <w:t>A further differentiation is made</w:t>
      </w:r>
      <w:r w:rsidR="00642FF2">
        <w:rPr>
          <w:rStyle w:val="FootnoteReference"/>
          <w:rFonts w:ascii="Book Antiqua" w:hAnsi="Book Antiqua"/>
        </w:rPr>
        <w:footnoteReference w:id="238"/>
      </w:r>
      <w:r w:rsidR="00642FF2">
        <w:rPr>
          <w:rFonts w:ascii="Book Antiqua" w:hAnsi="Book Antiqua"/>
        </w:rPr>
        <w:t xml:space="preserve"> </w:t>
      </w:r>
      <w:r w:rsidRPr="00AA78D8">
        <w:rPr>
          <w:rFonts w:ascii="Book Antiqua" w:hAnsi="Book Antiqua"/>
        </w:rPr>
        <w:t>of true from false or imperfect prud</w:t>
      </w:r>
      <w:r w:rsidR="004033D7">
        <w:rPr>
          <w:rFonts w:ascii="Book Antiqua" w:hAnsi="Book Antiqua"/>
        </w:rPr>
        <w:t xml:space="preserve">ence.  Later referred to </w:t>
      </w:r>
      <w:r w:rsidRPr="00AA78D8">
        <w:rPr>
          <w:rFonts w:ascii="Book Antiqua" w:hAnsi="Book Antiqua"/>
        </w:rPr>
        <w:t>as “prudence of the flesh,”</w:t>
      </w:r>
      <w:r w:rsidR="00642FF2">
        <w:rPr>
          <w:rStyle w:val="FootnoteReference"/>
          <w:rFonts w:ascii="Book Antiqua" w:hAnsi="Book Antiqua"/>
        </w:rPr>
        <w:footnoteReference w:id="239"/>
      </w:r>
      <w:r w:rsidRPr="00AA78D8">
        <w:rPr>
          <w:rFonts w:ascii="Book Antiqua" w:hAnsi="Book Antiqua"/>
        </w:rPr>
        <w:t xml:space="preserve"> false prudence characterizes a person who acts very craftily in pursuit of an evil end.  Imperfect prudence regards devising fitting ways to obtain particular ends; for example, a ‘prudent sailor’ is one who has devised fitting ways to sail a ship.  In contrast, true prudence applies right reason to action </w:t>
      </w:r>
      <w:r w:rsidRPr="004033D7">
        <w:rPr>
          <w:rFonts w:ascii="Book Antiqua" w:hAnsi="Book Antiqua"/>
          <w:i/>
        </w:rPr>
        <w:t xml:space="preserve">in respect of the good end of the person’s entire life; </w:t>
      </w:r>
      <w:r w:rsidRPr="00AA78D8">
        <w:rPr>
          <w:rFonts w:ascii="Book Antiqua" w:hAnsi="Book Antiqua"/>
        </w:rPr>
        <w:t xml:space="preserve">it involves rational apprehension and affirmation of the concrete means by which a person, in his or her highly unique situation, can achieve the final end of human existence.  Herein lies the relationship and yet distinction between prudence and the moral virtues:  the end of the moral </w:t>
      </w:r>
      <w:r w:rsidR="00FB1A4A">
        <w:rPr>
          <w:rFonts w:ascii="Book Antiqua" w:hAnsi="Book Antiqua"/>
        </w:rPr>
        <w:t>virtues is the human good</w:t>
      </w:r>
      <w:r w:rsidRPr="00AA78D8">
        <w:rPr>
          <w:rFonts w:ascii="Book Antiqua" w:hAnsi="Book Antiqua"/>
        </w:rPr>
        <w:t>;</w:t>
      </w:r>
      <w:r w:rsidR="00FB1A4A">
        <w:rPr>
          <w:rStyle w:val="FootnoteReference"/>
          <w:rFonts w:ascii="Book Antiqua" w:hAnsi="Book Antiqua"/>
        </w:rPr>
        <w:footnoteReference w:id="240"/>
      </w:r>
      <w:r w:rsidRPr="00AA78D8">
        <w:rPr>
          <w:rFonts w:ascii="Book Antiqua" w:hAnsi="Book Antiqua"/>
        </w:rPr>
        <w:t xml:space="preserve"> prudence regards regulation of the </w:t>
      </w:r>
      <w:r w:rsidRPr="004033D7">
        <w:rPr>
          <w:rFonts w:ascii="Book Antiqua" w:hAnsi="Book Antiqua"/>
          <w:i/>
        </w:rPr>
        <w:t>means</w:t>
      </w:r>
      <w:r w:rsidRPr="00AA78D8">
        <w:rPr>
          <w:rFonts w:ascii="Book Antiqua" w:hAnsi="Book Antiqua"/>
        </w:rPr>
        <w:t xml:space="preserve"> to that end.  Precisely for this reason, Thomas insists that prudence is not in us “by nature;” rather, it is in us “by teaching and experience</w:t>
      </w:r>
      <w:r w:rsidR="00FB1A4A">
        <w:rPr>
          <w:rFonts w:ascii="Book Antiqua" w:hAnsi="Book Antiqua"/>
        </w:rPr>
        <w:t>.</w:t>
      </w:r>
      <w:r w:rsidRPr="00AA78D8">
        <w:rPr>
          <w:rFonts w:ascii="Book Antiqua" w:hAnsi="Book Antiqua"/>
        </w:rPr>
        <w:t>”</w:t>
      </w:r>
      <w:r w:rsidR="00FB1A4A">
        <w:rPr>
          <w:rStyle w:val="FootnoteReference"/>
          <w:rFonts w:ascii="Book Antiqua" w:hAnsi="Book Antiqua"/>
        </w:rPr>
        <w:footnoteReference w:id="241"/>
      </w:r>
      <w:r w:rsidRPr="00AA78D8">
        <w:rPr>
          <w:rFonts w:ascii="Book Antiqua" w:hAnsi="Book Antiqua"/>
        </w:rPr>
        <w:t xml:space="preserve">  There can be a natural inclination toward the ultimate ends of human existence because “the right ends of human life are fixed.”  The means to such ends in human concerns, however, far from being fixed, are of manifold variety </w:t>
      </w:r>
      <w:r w:rsidR="001C2C97">
        <w:rPr>
          <w:rFonts w:ascii="Book Antiqua" w:hAnsi="Book Antiqua"/>
        </w:rPr>
        <w:t>“</w:t>
      </w:r>
      <w:r w:rsidRPr="00AA78D8">
        <w:rPr>
          <w:rFonts w:ascii="Book Antiqua" w:hAnsi="Book Antiqua"/>
        </w:rPr>
        <w:t>according to the variety of persons and affairs</w:t>
      </w:r>
      <w:r w:rsidR="00FB1A4A">
        <w:rPr>
          <w:rFonts w:ascii="Book Antiqua" w:hAnsi="Book Antiqua"/>
        </w:rPr>
        <w:t>.”</w:t>
      </w:r>
      <w:r w:rsidR="00FB1A4A">
        <w:rPr>
          <w:rStyle w:val="FootnoteReference"/>
          <w:rFonts w:ascii="Book Antiqua" w:hAnsi="Book Antiqua"/>
        </w:rPr>
        <w:footnoteReference w:id="242"/>
      </w:r>
      <w:r w:rsidRPr="00AA78D8">
        <w:rPr>
          <w:rFonts w:ascii="Book Antiqua" w:hAnsi="Book Antiqua"/>
        </w:rPr>
        <w:t xml:space="preserve">  There is a keen recognition here of the inescapable significance of knowing oneself as concretely unique, and of knowing the concrete contours of one’s situation.  The ultimate end of human existence is common; the means to that end are highly personal.</w:t>
      </w:r>
    </w:p>
    <w:p w:rsidR="00AA78D8" w:rsidRPr="00AA78D8" w:rsidRDefault="00AA78D8" w:rsidP="004830BF">
      <w:pPr>
        <w:tabs>
          <w:tab w:val="left" w:pos="0"/>
        </w:tabs>
        <w:spacing w:after="120"/>
        <w:ind w:firstLine="720"/>
        <w:rPr>
          <w:rFonts w:ascii="Book Antiqua" w:hAnsi="Book Antiqua"/>
        </w:rPr>
      </w:pPr>
      <w:r w:rsidRPr="00AA78D8">
        <w:rPr>
          <w:rFonts w:ascii="Book Antiqua" w:hAnsi="Book Antiqua"/>
        </w:rPr>
        <w:t>Herein lies a difficulty.  Prudence involves attaining some knowledge of the future, by comparison to one’s knowledg</w:t>
      </w:r>
      <w:r w:rsidR="00FB1A4A">
        <w:rPr>
          <w:rFonts w:ascii="Book Antiqua" w:hAnsi="Book Antiqua"/>
        </w:rPr>
        <w:t>e of the past and present</w:t>
      </w:r>
      <w:r w:rsidRPr="00AA78D8">
        <w:rPr>
          <w:rFonts w:ascii="Book Antiqua" w:hAnsi="Book Antiqua"/>
        </w:rPr>
        <w:t>.</w:t>
      </w:r>
      <w:r w:rsidR="00FB1A4A">
        <w:rPr>
          <w:rStyle w:val="FootnoteReference"/>
          <w:rFonts w:ascii="Book Antiqua" w:hAnsi="Book Antiqua"/>
        </w:rPr>
        <w:footnoteReference w:id="243"/>
      </w:r>
      <w:r w:rsidRPr="00AA78D8">
        <w:rPr>
          <w:rFonts w:ascii="Book Antiqua" w:hAnsi="Book Antiqua"/>
        </w:rPr>
        <w:t xml:space="preserve">  But any person’s knowledge of all the contingent singulars which constitute that person and his or her situation is inevitably </w:t>
      </w:r>
      <w:r w:rsidRPr="00AA78D8">
        <w:rPr>
          <w:rFonts w:ascii="Book Antiqua" w:hAnsi="Book Antiqua"/>
        </w:rPr>
        <w:lastRenderedPageBreak/>
        <w:t>limited.  In order to be prudent, we need a knowledge that we cannot attain on our own resources.  This is Thomas’</w:t>
      </w:r>
      <w:r w:rsidR="001A064A">
        <w:rPr>
          <w:rFonts w:ascii="Book Antiqua" w:hAnsi="Book Antiqua"/>
        </w:rPr>
        <w:t>s</w:t>
      </w:r>
      <w:r w:rsidRPr="00AA78D8">
        <w:rPr>
          <w:rFonts w:ascii="Book Antiqua" w:hAnsi="Book Antiqua"/>
        </w:rPr>
        <w:t xml:space="preserve"> point of entry into consideration of the gift of </w:t>
      </w:r>
      <w:r w:rsidRPr="004033D7">
        <w:rPr>
          <w:rFonts w:ascii="Book Antiqua" w:hAnsi="Book Antiqua"/>
          <w:i/>
        </w:rPr>
        <w:t>counsel</w:t>
      </w:r>
      <w:r w:rsidRPr="00AA78D8">
        <w:rPr>
          <w:rFonts w:ascii="Book Antiqua" w:hAnsi="Book Antiqua"/>
        </w:rPr>
        <w:t xml:space="preserve">.  Because human reason “is unable to grasp the singular and contingent </w:t>
      </w:r>
      <w:r w:rsidR="00FE620B">
        <w:rPr>
          <w:rFonts w:ascii="Book Antiqua" w:hAnsi="Book Antiqua"/>
        </w:rPr>
        <w:t>things which may occur. . . [a</w:t>
      </w:r>
      <w:r w:rsidRPr="00AA78D8">
        <w:rPr>
          <w:rFonts w:ascii="Book Antiqua" w:hAnsi="Book Antiqua"/>
        </w:rPr>
        <w:t xml:space="preserve"> human person] requires to be directed by God who comprehends all things</w:t>
      </w:r>
      <w:r w:rsidR="00FB1A4A">
        <w:rPr>
          <w:rFonts w:ascii="Book Antiqua" w:hAnsi="Book Antiqua"/>
        </w:rPr>
        <w:t>.</w:t>
      </w:r>
      <w:r w:rsidRPr="00AA78D8">
        <w:rPr>
          <w:rFonts w:ascii="Book Antiqua" w:hAnsi="Book Antiqua"/>
        </w:rPr>
        <w:t>”</w:t>
      </w:r>
      <w:r w:rsidR="00FB1A4A">
        <w:rPr>
          <w:rStyle w:val="FootnoteReference"/>
          <w:rFonts w:ascii="Book Antiqua" w:hAnsi="Book Antiqua"/>
        </w:rPr>
        <w:footnoteReference w:id="244"/>
      </w:r>
      <w:r w:rsidRPr="00AA78D8">
        <w:rPr>
          <w:rFonts w:ascii="Book Antiqua" w:hAnsi="Book Antiqua"/>
        </w:rPr>
        <w:t xml:space="preserve">  And since God moves or directs everything according to its own nature, the</w:t>
      </w:r>
      <w:r w:rsidR="00962A30">
        <w:rPr>
          <w:rFonts w:ascii="Book Antiqua" w:hAnsi="Book Antiqua"/>
        </w:rPr>
        <w:t xml:space="preserve"> rational creature is directed “</w:t>
      </w:r>
      <w:r w:rsidRPr="00AA78D8">
        <w:rPr>
          <w:rFonts w:ascii="Book Antiqua" w:hAnsi="Book Antiqua"/>
        </w:rPr>
        <w:t>through the research of reason to perform any particular action</w:t>
      </w:r>
      <w:r w:rsidR="00FB1A4A">
        <w:rPr>
          <w:rFonts w:ascii="Book Antiqua" w:hAnsi="Book Antiqua"/>
        </w:rPr>
        <w:t>.</w:t>
      </w:r>
      <w:r w:rsidRPr="00AA78D8">
        <w:rPr>
          <w:rFonts w:ascii="Book Antiqua" w:hAnsi="Book Antiqua"/>
        </w:rPr>
        <w:t>”</w:t>
      </w:r>
      <w:r w:rsidR="00FB1A4A">
        <w:rPr>
          <w:rStyle w:val="FootnoteReference"/>
          <w:rFonts w:ascii="Book Antiqua" w:hAnsi="Book Antiqua"/>
        </w:rPr>
        <w:footnoteReference w:id="245"/>
      </w:r>
      <w:r w:rsidRPr="00AA78D8">
        <w:rPr>
          <w:rFonts w:ascii="Book Antiqua" w:hAnsi="Book Antiqua"/>
        </w:rPr>
        <w:t xml:space="preserve"> </w:t>
      </w:r>
      <w:r w:rsidR="00FB1A4A">
        <w:rPr>
          <w:rFonts w:ascii="Book Antiqua" w:hAnsi="Book Antiqua"/>
        </w:rPr>
        <w:t xml:space="preserve"> </w:t>
      </w:r>
      <w:r w:rsidRPr="00AA78D8">
        <w:rPr>
          <w:rFonts w:ascii="Book Antiqua" w:hAnsi="Book Antiqua"/>
        </w:rPr>
        <w:t>The gift of counsel is that disposition “whereby the soul is rendered amenable” to such direction</w:t>
      </w:r>
      <w:r w:rsidR="004033D7">
        <w:rPr>
          <w:rFonts w:ascii="Book Antiqua" w:hAnsi="Book Antiqua"/>
        </w:rPr>
        <w:t>;</w:t>
      </w:r>
      <w:r w:rsidR="004033D7">
        <w:rPr>
          <w:rStyle w:val="FootnoteReference"/>
          <w:rFonts w:ascii="Book Antiqua" w:hAnsi="Book Antiqua"/>
        </w:rPr>
        <w:footnoteReference w:id="246"/>
      </w:r>
      <w:r w:rsidRPr="00AA78D8">
        <w:rPr>
          <w:rFonts w:ascii="Book Antiqua" w:hAnsi="Book Antiqua"/>
        </w:rPr>
        <w:t xml:space="preserve"> it functions, therefore, to “help and perfect the virtue of prudence</w:t>
      </w:r>
      <w:r w:rsidR="00FB1A4A">
        <w:rPr>
          <w:rFonts w:ascii="Book Antiqua" w:hAnsi="Book Antiqua"/>
        </w:rPr>
        <w:t>.</w:t>
      </w:r>
      <w:r w:rsidRPr="00AA78D8">
        <w:rPr>
          <w:rFonts w:ascii="Book Antiqua" w:hAnsi="Book Antiqua"/>
        </w:rPr>
        <w:t>”</w:t>
      </w:r>
      <w:r w:rsidR="00FB1A4A">
        <w:rPr>
          <w:rStyle w:val="FootnoteReference"/>
          <w:rFonts w:ascii="Book Antiqua" w:hAnsi="Book Antiqua"/>
        </w:rPr>
        <w:footnoteReference w:id="247"/>
      </w:r>
    </w:p>
    <w:p w:rsidR="00AA78D8" w:rsidRPr="00AA78D8" w:rsidRDefault="00AA78D8" w:rsidP="004830BF">
      <w:pPr>
        <w:tabs>
          <w:tab w:val="left" w:pos="0"/>
        </w:tabs>
        <w:spacing w:after="120"/>
        <w:ind w:firstLine="720"/>
        <w:rPr>
          <w:rFonts w:ascii="Book Antiqua" w:hAnsi="Book Antiqua"/>
        </w:rPr>
      </w:pPr>
      <w:r w:rsidRPr="00AA78D8">
        <w:rPr>
          <w:rFonts w:ascii="Book Antiqua" w:hAnsi="Book Antiqua"/>
        </w:rPr>
        <w:t>Two aspects of this ‘help’ are specifically highlighted by Thomas.  First, in our natural situation great personal distress can result from the fact that we never know all that we need to know to guide our living, and this distress itself can further cloud our ability to understand and choose; the gift of counsel “soothes this anxiety of doubt</w:t>
      </w:r>
      <w:r w:rsidR="00FB1A4A">
        <w:rPr>
          <w:rFonts w:ascii="Book Antiqua" w:hAnsi="Book Antiqua"/>
        </w:rPr>
        <w:t>.</w:t>
      </w:r>
      <w:r w:rsidRPr="00AA78D8">
        <w:rPr>
          <w:rFonts w:ascii="Book Antiqua" w:hAnsi="Book Antiqua"/>
        </w:rPr>
        <w:t>”</w:t>
      </w:r>
      <w:r w:rsidR="00FB1A4A">
        <w:rPr>
          <w:rStyle w:val="FootnoteReference"/>
          <w:rFonts w:ascii="Book Antiqua" w:hAnsi="Book Antiqua"/>
        </w:rPr>
        <w:footnoteReference w:id="248"/>
      </w:r>
      <w:r w:rsidR="00FB1A4A">
        <w:rPr>
          <w:rFonts w:ascii="Book Antiqua" w:hAnsi="Book Antiqua"/>
        </w:rPr>
        <w:t xml:space="preserve">  </w:t>
      </w:r>
      <w:r w:rsidRPr="00AA78D8">
        <w:rPr>
          <w:rFonts w:ascii="Book Antiqua" w:hAnsi="Book Antiqua"/>
        </w:rPr>
        <w:t>Secondly, an intimate connection is posited between counsel and the beatitude of mercy.  Counsel opens us to the realization that showing mercy is a central means to the final end of our existence; this realization comes to us as a supernatural gift of the Spirit.</w:t>
      </w:r>
    </w:p>
    <w:p w:rsidR="008645D4" w:rsidRDefault="00AA78D8" w:rsidP="004830BF">
      <w:pPr>
        <w:tabs>
          <w:tab w:val="left" w:pos="0"/>
        </w:tabs>
        <w:spacing w:after="120"/>
        <w:ind w:firstLine="720"/>
        <w:contextualSpacing/>
        <w:rPr>
          <w:rFonts w:ascii="Book Antiqua" w:hAnsi="Book Antiqua"/>
        </w:rPr>
      </w:pPr>
      <w:r w:rsidRPr="00AA78D8">
        <w:rPr>
          <w:rFonts w:ascii="Book Antiqua" w:hAnsi="Book Antiqua"/>
        </w:rPr>
        <w:t>But this gift requires human cooperation, and Thomas specifies three levels of consciousness at which this cooperation must occur in authentically prudent living</w:t>
      </w:r>
      <w:r w:rsidR="00FB1A4A">
        <w:rPr>
          <w:rFonts w:ascii="Book Antiqua" w:hAnsi="Book Antiqua"/>
        </w:rPr>
        <w:t>.</w:t>
      </w:r>
      <w:r w:rsidR="00FB1A4A">
        <w:rPr>
          <w:rStyle w:val="FootnoteReference"/>
          <w:rFonts w:ascii="Book Antiqua" w:hAnsi="Book Antiqua"/>
        </w:rPr>
        <w:footnoteReference w:id="249"/>
      </w:r>
      <w:r w:rsidRPr="00AA78D8">
        <w:rPr>
          <w:rFonts w:ascii="Book Antiqua" w:hAnsi="Book Antiqua"/>
        </w:rPr>
        <w:t xml:space="preserve">  There must first be </w:t>
      </w:r>
      <w:r w:rsidRPr="005E54BC">
        <w:rPr>
          <w:rFonts w:ascii="Book Antiqua" w:hAnsi="Book Antiqua"/>
          <w:i/>
        </w:rPr>
        <w:t>inquiry</w:t>
      </w:r>
      <w:r w:rsidRPr="00AA78D8">
        <w:rPr>
          <w:rFonts w:ascii="Book Antiqua" w:hAnsi="Book Antiqua"/>
        </w:rPr>
        <w:t xml:space="preserve">, the act of taking counsel which yields insight.  But from this flows further reflection leading to the </w:t>
      </w:r>
      <w:r w:rsidRPr="005E54BC">
        <w:rPr>
          <w:rFonts w:ascii="Book Antiqua" w:hAnsi="Book Antiqua"/>
          <w:i/>
        </w:rPr>
        <w:t>judgment</w:t>
      </w:r>
      <w:r w:rsidRPr="00AA78D8">
        <w:rPr>
          <w:rFonts w:ascii="Book Antiqua" w:hAnsi="Book Antiqua"/>
        </w:rPr>
        <w:t xml:space="preserve"> of what one has discovered; beyond the occurrence of insight, there is needed a personal affirmation of what has been discovered.  But even beyond this, there is the act of</w:t>
      </w:r>
      <w:r w:rsidRPr="00AA78D8">
        <w:rPr>
          <w:rFonts w:ascii="Book Antiqua" w:hAnsi="Book Antiqua"/>
          <w:b/>
        </w:rPr>
        <w:t xml:space="preserve"> </w:t>
      </w:r>
      <w:r w:rsidRPr="005E54BC">
        <w:rPr>
          <w:rFonts w:ascii="Book Antiqua" w:hAnsi="Book Antiqua"/>
          <w:i/>
        </w:rPr>
        <w:t>command</w:t>
      </w:r>
      <w:r w:rsidRPr="00AA78D8">
        <w:rPr>
          <w:rFonts w:ascii="Book Antiqua" w:hAnsi="Book Antiqua"/>
        </w:rPr>
        <w:t>, “applying to action the things counseled and judged</w:t>
      </w:r>
      <w:r w:rsidR="00FB1A4A">
        <w:rPr>
          <w:rFonts w:ascii="Book Antiqua" w:hAnsi="Book Antiqua"/>
        </w:rPr>
        <w:t>.</w:t>
      </w:r>
      <w:r w:rsidRPr="00AA78D8">
        <w:rPr>
          <w:rFonts w:ascii="Book Antiqua" w:hAnsi="Book Antiqua"/>
        </w:rPr>
        <w:t>”</w:t>
      </w:r>
      <w:r w:rsidR="00FB1A4A">
        <w:rPr>
          <w:rStyle w:val="FootnoteReference"/>
          <w:rFonts w:ascii="Book Antiqua" w:hAnsi="Book Antiqua"/>
        </w:rPr>
        <w:footnoteReference w:id="250"/>
      </w:r>
      <w:r w:rsidRPr="00AA78D8">
        <w:rPr>
          <w:rFonts w:ascii="Book Antiqua" w:hAnsi="Book Antiqua"/>
        </w:rPr>
        <w:t xml:space="preserve"> </w:t>
      </w:r>
      <w:r w:rsidR="00EE28F8">
        <w:rPr>
          <w:rFonts w:ascii="Book Antiqua" w:hAnsi="Book Antiqua"/>
        </w:rPr>
        <w:t xml:space="preserve"> </w:t>
      </w:r>
      <w:r w:rsidRPr="00AA78D8">
        <w:rPr>
          <w:rFonts w:ascii="Book Antiqua" w:hAnsi="Book Antiqua"/>
        </w:rPr>
        <w:t>At each level there is a progressive intensity of existential engagement:  judgment is more self-involving than discovery, and the intellect’s command which flows into the act of will</w:t>
      </w:r>
      <w:r w:rsidR="00FB1A4A">
        <w:rPr>
          <w:rStyle w:val="FootnoteReference"/>
          <w:rFonts w:ascii="Book Antiqua" w:hAnsi="Book Antiqua"/>
        </w:rPr>
        <w:footnoteReference w:id="251"/>
      </w:r>
      <w:r w:rsidR="00FB1A4A">
        <w:rPr>
          <w:rFonts w:ascii="Book Antiqua" w:hAnsi="Book Antiqua"/>
        </w:rPr>
        <w:t xml:space="preserve"> </w:t>
      </w:r>
      <w:r w:rsidRPr="00AA78D8">
        <w:rPr>
          <w:rFonts w:ascii="Book Antiqua" w:hAnsi="Book Antiqua"/>
        </w:rPr>
        <w:t>is yet more self-involving than judgment.  True prudence involves the engagement of consciousness at each of the three levels, but also admits of breakdowns at each level.  Thus, there is an imperfect prudence</w:t>
      </w:r>
      <w:r w:rsidR="00EE28F8">
        <w:rPr>
          <w:rStyle w:val="FootnoteReference"/>
          <w:rFonts w:ascii="Book Antiqua" w:hAnsi="Book Antiqua"/>
        </w:rPr>
        <w:footnoteReference w:id="252"/>
      </w:r>
      <w:r w:rsidR="00EE28F8">
        <w:rPr>
          <w:rFonts w:ascii="Book Antiqua" w:hAnsi="Book Antiqua"/>
        </w:rPr>
        <w:t xml:space="preserve"> </w:t>
      </w:r>
      <w:r w:rsidRPr="00AA78D8">
        <w:rPr>
          <w:rFonts w:ascii="Book Antiqua" w:hAnsi="Book Antiqua"/>
        </w:rPr>
        <w:t>which discovers and affirms means to the human good, but “fails to make an effective command</w:t>
      </w:r>
      <w:r w:rsidR="00EE28F8">
        <w:rPr>
          <w:rFonts w:ascii="Book Antiqua" w:hAnsi="Book Antiqua"/>
        </w:rPr>
        <w:t>.</w:t>
      </w:r>
      <w:r w:rsidR="00962A30">
        <w:rPr>
          <w:rFonts w:ascii="Book Antiqua" w:hAnsi="Book Antiqua"/>
        </w:rPr>
        <w:t>”</w:t>
      </w:r>
      <w:r w:rsidR="00EE28F8">
        <w:rPr>
          <w:rStyle w:val="FootnoteReference"/>
          <w:rFonts w:ascii="Book Antiqua" w:hAnsi="Book Antiqua"/>
        </w:rPr>
        <w:footnoteReference w:id="253"/>
      </w:r>
      <w:r w:rsidRPr="00AA78D8">
        <w:rPr>
          <w:rFonts w:ascii="Book Antiqua" w:hAnsi="Book Antiqua"/>
        </w:rPr>
        <w:t xml:space="preserve"> </w:t>
      </w:r>
      <w:r w:rsidR="004033D7">
        <w:rPr>
          <w:rFonts w:ascii="Book Antiqua" w:hAnsi="Book Antiqua"/>
        </w:rPr>
        <w:t xml:space="preserve"> </w:t>
      </w:r>
      <w:r w:rsidRPr="00AA78D8">
        <w:rPr>
          <w:rFonts w:ascii="Book Antiqua" w:hAnsi="Book Antiqua"/>
        </w:rPr>
        <w:t>There is also rash “precipitation” in which a person “rushes into action under the impulse of passion</w:t>
      </w:r>
      <w:r w:rsidR="00642FF2">
        <w:rPr>
          <w:rFonts w:ascii="Book Antiqua" w:hAnsi="Book Antiqua"/>
        </w:rPr>
        <w:t>.</w:t>
      </w:r>
      <w:r w:rsidRPr="00AA78D8">
        <w:rPr>
          <w:rFonts w:ascii="Book Antiqua" w:hAnsi="Book Antiqua"/>
        </w:rPr>
        <w:t>”</w:t>
      </w:r>
      <w:r w:rsidR="00642FF2">
        <w:rPr>
          <w:rStyle w:val="FootnoteReference"/>
          <w:rFonts w:ascii="Book Antiqua" w:hAnsi="Book Antiqua"/>
        </w:rPr>
        <w:footnoteReference w:id="254"/>
      </w:r>
      <w:r w:rsidR="00642FF2">
        <w:rPr>
          <w:rFonts w:ascii="Book Antiqua" w:hAnsi="Book Antiqua"/>
        </w:rPr>
        <w:t xml:space="preserve">  </w:t>
      </w:r>
      <w:r w:rsidRPr="00AA78D8">
        <w:rPr>
          <w:rFonts w:ascii="Book Antiqua" w:hAnsi="Book Antiqua"/>
        </w:rPr>
        <w:t xml:space="preserve">But the gift of counsel is a help toward authentic prudence </w:t>
      </w:r>
    </w:p>
    <w:p w:rsidR="00AA78D8" w:rsidRPr="00AA78D8" w:rsidRDefault="00AA78D8" w:rsidP="008645D4">
      <w:pPr>
        <w:tabs>
          <w:tab w:val="left" w:pos="0"/>
        </w:tabs>
        <w:spacing w:after="120"/>
        <w:rPr>
          <w:rFonts w:ascii="Book Antiqua" w:hAnsi="Book Antiqua"/>
        </w:rPr>
      </w:pPr>
      <w:r w:rsidRPr="00AA78D8">
        <w:rPr>
          <w:rFonts w:ascii="Book Antiqua" w:hAnsi="Book Antiqua"/>
        </w:rPr>
        <w:t>throughout the movement of consciousness from inquiry to judgment to command.</w:t>
      </w:r>
    </w:p>
    <w:p w:rsidR="00AA78D8" w:rsidRPr="00AA78D8" w:rsidRDefault="00AA78D8" w:rsidP="004830BF">
      <w:pPr>
        <w:tabs>
          <w:tab w:val="left" w:pos="0"/>
        </w:tabs>
        <w:spacing w:after="120"/>
        <w:ind w:firstLine="720"/>
        <w:rPr>
          <w:rFonts w:ascii="Book Antiqua" w:hAnsi="Book Antiqua"/>
        </w:rPr>
      </w:pPr>
      <w:r w:rsidRPr="00AA78D8">
        <w:rPr>
          <w:rFonts w:ascii="Book Antiqua" w:hAnsi="Book Antiqua"/>
        </w:rPr>
        <w:lastRenderedPageBreak/>
        <w:t xml:space="preserve">Finally, I sense that some of the </w:t>
      </w:r>
      <w:r w:rsidR="00BC1216">
        <w:rPr>
          <w:rFonts w:ascii="Book Antiqua" w:hAnsi="Book Antiqua"/>
        </w:rPr>
        <w:t>existential</w:t>
      </w:r>
      <w:r w:rsidRPr="00AA78D8">
        <w:rPr>
          <w:rFonts w:ascii="Book Antiqua" w:hAnsi="Book Antiqua"/>
        </w:rPr>
        <w:t xml:space="preserve"> significance of this discussion can be glimpsed by returning to the differentiation of prudence from art.</w:t>
      </w:r>
    </w:p>
    <w:p w:rsidR="00AA78D8" w:rsidRPr="00AA78D8" w:rsidRDefault="00AA78D8" w:rsidP="004830BF">
      <w:pPr>
        <w:tabs>
          <w:tab w:val="left" w:pos="720"/>
        </w:tabs>
        <w:spacing w:after="120"/>
        <w:ind w:left="720" w:right="720"/>
        <w:rPr>
          <w:rFonts w:ascii="Book Antiqua" w:hAnsi="Book Antiqua"/>
        </w:rPr>
      </w:pPr>
      <w:r w:rsidRPr="00642FF2">
        <w:rPr>
          <w:rFonts w:ascii="Book Antiqua" w:hAnsi="Book Antiqua"/>
          <w:sz w:val="20"/>
          <w:szCs w:val="20"/>
        </w:rPr>
        <w:t xml:space="preserve">Art is the </w:t>
      </w:r>
      <w:r w:rsidRPr="00702EA5">
        <w:rPr>
          <w:rFonts w:ascii="Book Antiqua" w:hAnsi="Book Antiqua"/>
          <w:sz w:val="20"/>
          <w:szCs w:val="20"/>
        </w:rPr>
        <w:t>right reason of things to be made</w:t>
      </w:r>
      <w:r w:rsidRPr="00642FF2">
        <w:rPr>
          <w:rFonts w:ascii="Book Antiqua" w:hAnsi="Book Antiqua"/>
          <w:sz w:val="20"/>
          <w:szCs w:val="20"/>
        </w:rPr>
        <w:t xml:space="preserve">; whereas prudence is the </w:t>
      </w:r>
      <w:r w:rsidRPr="00702EA5">
        <w:rPr>
          <w:rFonts w:ascii="Book Antiqua" w:hAnsi="Book Antiqua"/>
          <w:sz w:val="20"/>
          <w:szCs w:val="20"/>
        </w:rPr>
        <w:t>right reason of things to be done</w:t>
      </w:r>
      <w:r w:rsidRPr="00642FF2">
        <w:rPr>
          <w:rFonts w:ascii="Book Antiqua" w:hAnsi="Book Antiqua"/>
          <w:sz w:val="20"/>
          <w:szCs w:val="20"/>
        </w:rPr>
        <w:t xml:space="preserve">.  Now </w:t>
      </w:r>
      <w:r w:rsidRPr="00702EA5">
        <w:rPr>
          <w:rFonts w:ascii="Book Antiqua" w:hAnsi="Book Antiqua"/>
          <w:sz w:val="20"/>
          <w:szCs w:val="20"/>
        </w:rPr>
        <w:t>making</w:t>
      </w:r>
      <w:r w:rsidRPr="00642FF2">
        <w:rPr>
          <w:rFonts w:ascii="Book Antiqua" w:hAnsi="Book Antiqua"/>
          <w:sz w:val="20"/>
          <w:szCs w:val="20"/>
        </w:rPr>
        <w:t xml:space="preserve"> and </w:t>
      </w:r>
      <w:r w:rsidRPr="00702EA5">
        <w:rPr>
          <w:rFonts w:ascii="Book Antiqua" w:hAnsi="Book Antiqua"/>
          <w:sz w:val="20"/>
          <w:szCs w:val="20"/>
        </w:rPr>
        <w:t>doing</w:t>
      </w:r>
      <w:r w:rsidRPr="00642FF2">
        <w:rPr>
          <w:rFonts w:ascii="Book Antiqua" w:hAnsi="Book Antiqua"/>
          <w:sz w:val="20"/>
          <w:szCs w:val="20"/>
        </w:rPr>
        <w:t xml:space="preserve"> differ. . . in that </w:t>
      </w:r>
      <w:r w:rsidRPr="00702EA5">
        <w:rPr>
          <w:rFonts w:ascii="Book Antiqua" w:hAnsi="Book Antiqua"/>
          <w:sz w:val="20"/>
          <w:szCs w:val="20"/>
        </w:rPr>
        <w:t>making</w:t>
      </w:r>
      <w:r w:rsidRPr="00642FF2">
        <w:rPr>
          <w:rFonts w:ascii="Book Antiqua" w:hAnsi="Book Antiqua"/>
          <w:sz w:val="20"/>
          <w:szCs w:val="20"/>
        </w:rPr>
        <w:t xml:space="preserve"> is an action passing into outward matter, e.g., to build, to saw, and so forth; whereas </w:t>
      </w:r>
      <w:r w:rsidRPr="00702EA5">
        <w:rPr>
          <w:rFonts w:ascii="Book Antiqua" w:hAnsi="Book Antiqua"/>
          <w:sz w:val="20"/>
          <w:szCs w:val="20"/>
        </w:rPr>
        <w:t>doing</w:t>
      </w:r>
      <w:r w:rsidRPr="00642FF2">
        <w:rPr>
          <w:rFonts w:ascii="Book Antiqua" w:hAnsi="Book Antiqua"/>
          <w:sz w:val="20"/>
          <w:szCs w:val="20"/>
        </w:rPr>
        <w:t xml:space="preserve"> is an action </w:t>
      </w:r>
      <w:r w:rsidRPr="00702EA5">
        <w:rPr>
          <w:rFonts w:ascii="Book Antiqua" w:hAnsi="Book Antiqua"/>
          <w:sz w:val="20"/>
          <w:szCs w:val="20"/>
        </w:rPr>
        <w:t>abiding in the agent</w:t>
      </w:r>
      <w:r w:rsidRPr="00642FF2">
        <w:rPr>
          <w:rFonts w:ascii="Book Antiqua" w:hAnsi="Book Antiqua"/>
          <w:sz w:val="20"/>
          <w:szCs w:val="20"/>
        </w:rPr>
        <w:t>, e.g., to see, to will, and the like</w:t>
      </w:r>
      <w:r w:rsidR="00642FF2" w:rsidRPr="00642FF2">
        <w:rPr>
          <w:rFonts w:ascii="Book Antiqua" w:hAnsi="Book Antiqua"/>
          <w:sz w:val="20"/>
          <w:szCs w:val="20"/>
        </w:rPr>
        <w:t>.</w:t>
      </w:r>
      <w:r w:rsidR="00642FF2">
        <w:rPr>
          <w:rStyle w:val="FootnoteReference"/>
          <w:rFonts w:ascii="Book Antiqua" w:hAnsi="Book Antiqua"/>
          <w:sz w:val="20"/>
          <w:szCs w:val="20"/>
        </w:rPr>
        <w:footnoteReference w:id="255"/>
      </w:r>
    </w:p>
    <w:p w:rsidR="00AA78D8" w:rsidRPr="00AA78D8" w:rsidRDefault="00AA78D8" w:rsidP="004830BF">
      <w:pPr>
        <w:tabs>
          <w:tab w:val="left" w:pos="0"/>
        </w:tabs>
        <w:spacing w:after="120"/>
        <w:rPr>
          <w:rFonts w:ascii="Book Antiqua" w:hAnsi="Book Antiqua"/>
        </w:rPr>
      </w:pPr>
      <w:r w:rsidRPr="00AA78D8">
        <w:rPr>
          <w:rFonts w:ascii="Book Antiqua" w:hAnsi="Book Antiqua"/>
        </w:rPr>
        <w:t xml:space="preserve">Prudence, in other words, involves the recognition that beyond the </w:t>
      </w:r>
      <w:r w:rsidRPr="00702EA5">
        <w:rPr>
          <w:rFonts w:ascii="Book Antiqua" w:hAnsi="Book Antiqua"/>
        </w:rPr>
        <w:t>practical</w:t>
      </w:r>
      <w:r w:rsidRPr="00AA78D8">
        <w:rPr>
          <w:rFonts w:ascii="Book Antiqua" w:hAnsi="Book Antiqua"/>
          <w:b/>
        </w:rPr>
        <w:t xml:space="preserve"> </w:t>
      </w:r>
      <w:r w:rsidRPr="00AA78D8">
        <w:rPr>
          <w:rFonts w:ascii="Book Antiqua" w:hAnsi="Book Antiqua"/>
        </w:rPr>
        <w:t>impact of my actions in ‘making the world,’ there is the</w:t>
      </w:r>
      <w:r w:rsidRPr="00702EA5">
        <w:rPr>
          <w:rFonts w:ascii="Book Antiqua" w:hAnsi="Book Antiqua"/>
        </w:rPr>
        <w:t xml:space="preserve"> existential</w:t>
      </w:r>
      <w:r w:rsidRPr="00AA78D8">
        <w:rPr>
          <w:rFonts w:ascii="Book Antiqua" w:hAnsi="Book Antiqua"/>
        </w:rPr>
        <w:t xml:space="preserve"> impact</w:t>
      </w:r>
      <w:r w:rsidR="00702EA5">
        <w:rPr>
          <w:rFonts w:ascii="Book Antiqua" w:hAnsi="Book Antiqua"/>
        </w:rPr>
        <w:t xml:space="preserve"> of those actions in ‘making my-</w:t>
      </w:r>
      <w:r w:rsidRPr="00AA78D8">
        <w:rPr>
          <w:rFonts w:ascii="Book Antiqua" w:hAnsi="Book Antiqua"/>
        </w:rPr>
        <w:t>self;’ besides action that passes into outward matter, th</w:t>
      </w:r>
      <w:r w:rsidR="00702EA5">
        <w:rPr>
          <w:rFonts w:ascii="Book Antiqua" w:hAnsi="Book Antiqua"/>
        </w:rPr>
        <w:t>ere is action that abides in my-</w:t>
      </w:r>
      <w:r w:rsidRPr="00AA78D8">
        <w:rPr>
          <w:rFonts w:ascii="Book Antiqua" w:hAnsi="Book Antiqua"/>
        </w:rPr>
        <w:t>self.</w:t>
      </w:r>
    </w:p>
    <w:p w:rsidR="00AA78D8" w:rsidRPr="00AA78D8" w:rsidRDefault="0046265F" w:rsidP="0046265F">
      <w:pPr>
        <w:tabs>
          <w:tab w:val="left" w:pos="0"/>
        </w:tabs>
        <w:spacing w:after="120"/>
        <w:rPr>
          <w:rFonts w:ascii="Book Antiqua" w:hAnsi="Book Antiqua"/>
        </w:rPr>
      </w:pPr>
      <w:r>
        <w:rPr>
          <w:rFonts w:ascii="Book Antiqua" w:hAnsi="Book Antiqua"/>
        </w:rPr>
        <w:tab/>
        <w:t>A</w:t>
      </w:r>
      <w:r w:rsidR="00AA78D8" w:rsidRPr="00AA78D8">
        <w:rPr>
          <w:rFonts w:ascii="Book Antiqua" w:hAnsi="Book Antiqua"/>
        </w:rPr>
        <w:t xml:space="preserve"> final insight into the eminent ‘practicality’ of spirituality seems clear.  To be </w:t>
      </w:r>
      <w:r w:rsidR="00AA78D8" w:rsidRPr="00702EA5">
        <w:rPr>
          <w:rFonts w:ascii="Book Antiqua" w:hAnsi="Book Antiqua"/>
          <w:i/>
        </w:rPr>
        <w:t>prudently spiritual</w:t>
      </w:r>
      <w:r w:rsidR="00AA78D8" w:rsidRPr="00AA78D8">
        <w:rPr>
          <w:rFonts w:ascii="Book Antiqua" w:hAnsi="Book Antiqua"/>
        </w:rPr>
        <w:t xml:space="preserve"> involves very concrete knowledge of oneself and one’s situation; it involves keen discernment of the available means that can be reasonably chosen in the radically practical process of making one’s life a work of art before God.</w:t>
      </w:r>
    </w:p>
    <w:p w:rsidR="006B0FD9" w:rsidRDefault="00D20718" w:rsidP="004F645C">
      <w:pPr>
        <w:tabs>
          <w:tab w:val="left" w:pos="0"/>
        </w:tabs>
        <w:spacing w:after="120"/>
        <w:rPr>
          <w:rFonts w:ascii="Book Antiqua" w:hAnsi="Book Antiqua"/>
        </w:rPr>
      </w:pPr>
      <w:r>
        <w:rPr>
          <w:rFonts w:ascii="Book Antiqua" w:hAnsi="Book Antiqua"/>
        </w:rPr>
        <w:tab/>
        <w:t>There is consistent concern throughout for the contingent, not the necessary, for knowledge of singulars, not universals.  Works of art are unique, and the dramatic artistry of our living is a matter of creating such a work of art precisely from the concrete, singular givens of our existence.  Our destiny i</w:t>
      </w:r>
      <w:r w:rsidR="00344C51">
        <w:rPr>
          <w:rFonts w:ascii="Book Antiqua" w:hAnsi="Book Antiqua"/>
        </w:rPr>
        <w:t>s common, but our</w:t>
      </w:r>
      <w:r w:rsidR="002967F1">
        <w:rPr>
          <w:rFonts w:ascii="Book Antiqua" w:hAnsi="Book Antiqua"/>
        </w:rPr>
        <w:t xml:space="preserve"> roads are diverse</w:t>
      </w:r>
      <w:r w:rsidR="00D826F4">
        <w:rPr>
          <w:rFonts w:ascii="Book Antiqua" w:hAnsi="Book Antiqua"/>
        </w:rPr>
        <w:t>.  A</w:t>
      </w:r>
      <w:r>
        <w:rPr>
          <w:rFonts w:ascii="Book Antiqua" w:hAnsi="Book Antiqua"/>
        </w:rPr>
        <w:t>rriving at the end together requires successful traversing of the</w:t>
      </w:r>
      <w:r w:rsidR="00D826F4">
        <w:rPr>
          <w:rFonts w:ascii="Book Antiqua" w:hAnsi="Book Antiqua"/>
        </w:rPr>
        <w:t xml:space="preserve"> curves unique to each of our ways there</w:t>
      </w:r>
      <w:r w:rsidR="001F6B40">
        <w:rPr>
          <w:rFonts w:ascii="Book Antiqua" w:hAnsi="Book Antiqua"/>
        </w:rPr>
        <w:t xml:space="preserve">.  </w:t>
      </w:r>
    </w:p>
    <w:p w:rsidR="00A46FD2" w:rsidRDefault="001F6B40" w:rsidP="004F645C">
      <w:pPr>
        <w:tabs>
          <w:tab w:val="left" w:pos="0"/>
        </w:tabs>
        <w:spacing w:after="120"/>
        <w:rPr>
          <w:rFonts w:ascii="Book Antiqua" w:hAnsi="Book Antiqua"/>
        </w:rPr>
      </w:pPr>
      <w:r>
        <w:rPr>
          <w:rFonts w:ascii="Book Antiqua" w:hAnsi="Book Antiqua"/>
        </w:rPr>
        <w:tab/>
      </w:r>
      <w:r w:rsidR="00D13110">
        <w:rPr>
          <w:rFonts w:ascii="Book Antiqua" w:hAnsi="Book Antiqua"/>
        </w:rPr>
        <w:t>It is to this notion</w:t>
      </w:r>
      <w:r>
        <w:rPr>
          <w:rFonts w:ascii="Book Antiqua" w:hAnsi="Book Antiqua"/>
        </w:rPr>
        <w:t xml:space="preserve"> of prudence, I see now, that I have been pointing throughout these pages.  The tragic, yet ecstatic, uniqueness of the love between Abelard and Heloise; Paul’s insistence on the resurrection of “our bodies,” not “the body;” </w:t>
      </w:r>
      <w:r w:rsidR="007F5887">
        <w:rPr>
          <w:rFonts w:ascii="Book Antiqua" w:hAnsi="Book Antiqua"/>
        </w:rPr>
        <w:t>Ignatian discernment of spirits</w:t>
      </w:r>
      <w:r w:rsidR="003E4F1F">
        <w:rPr>
          <w:rFonts w:ascii="Book Antiqua" w:hAnsi="Book Antiqua"/>
        </w:rPr>
        <w:t xml:space="preserve">; </w:t>
      </w:r>
      <w:r>
        <w:rPr>
          <w:rFonts w:ascii="Book Antiqua" w:hAnsi="Book Antiqua"/>
        </w:rPr>
        <w:t>Chesterton’s paean to the Poverello’s attentiveness to each person’s “own individual life</w:t>
      </w:r>
      <w:r w:rsidR="00A81B16">
        <w:rPr>
          <w:rFonts w:ascii="Book Antiqua" w:hAnsi="Book Antiqua"/>
        </w:rPr>
        <w:t xml:space="preserve"> from the cradle to the grave;” </w:t>
      </w:r>
      <w:r w:rsidR="007F5887">
        <w:rPr>
          <w:rFonts w:ascii="Book Antiqua" w:hAnsi="Book Antiqua"/>
        </w:rPr>
        <w:t>Hopkins’s inscape,</w:t>
      </w:r>
      <w:r w:rsidR="005325FF">
        <w:rPr>
          <w:rFonts w:ascii="Book Antiqua" w:hAnsi="Book Antiqua"/>
        </w:rPr>
        <w:t xml:space="preserve"> his “each mortal thing,” and “</w:t>
      </w:r>
      <w:r w:rsidR="005325FF" w:rsidRPr="005325FF">
        <w:rPr>
          <w:rFonts w:ascii="Book Antiqua" w:hAnsi="Book Antiqua"/>
          <w:i/>
        </w:rPr>
        <w:t>Whá</w:t>
      </w:r>
      <w:r w:rsidR="007F5887" w:rsidRPr="005325FF">
        <w:rPr>
          <w:rFonts w:ascii="Book Antiqua" w:hAnsi="Book Antiqua"/>
          <w:i/>
        </w:rPr>
        <w:t>t I do is me</w:t>
      </w:r>
      <w:r w:rsidR="00A81B16">
        <w:rPr>
          <w:rFonts w:ascii="Book Antiqua" w:hAnsi="Book Antiqua"/>
        </w:rPr>
        <w:t>;</w:t>
      </w:r>
      <w:r w:rsidR="007F5887">
        <w:rPr>
          <w:rFonts w:ascii="Book Antiqua" w:hAnsi="Book Antiqua"/>
        </w:rPr>
        <w:t>”</w:t>
      </w:r>
      <w:r w:rsidR="00A81B16">
        <w:rPr>
          <w:rFonts w:ascii="Book Antiqua" w:hAnsi="Book Antiqua"/>
        </w:rPr>
        <w:t xml:space="preserve"> </w:t>
      </w:r>
      <w:r>
        <w:rPr>
          <w:rFonts w:ascii="Book Antiqua" w:hAnsi="Book Antiqua"/>
        </w:rPr>
        <w:t xml:space="preserve">Montaigne’s suspicion of “abstract theories [which] undermine the truth of our common experience;” Lonergan’s </w:t>
      </w:r>
      <w:r w:rsidR="007F5887">
        <w:rPr>
          <w:rFonts w:ascii="Book Antiqua" w:hAnsi="Book Antiqua"/>
        </w:rPr>
        <w:t>focus on</w:t>
      </w:r>
      <w:r>
        <w:rPr>
          <w:rFonts w:ascii="Book Antiqua" w:hAnsi="Book Antiqua"/>
        </w:rPr>
        <w:t xml:space="preserve"> </w:t>
      </w:r>
      <w:r w:rsidR="007F5887">
        <w:rPr>
          <w:rFonts w:ascii="Book Antiqua" w:hAnsi="Book Antiqua"/>
        </w:rPr>
        <w:t>“</w:t>
      </w:r>
      <w:r>
        <w:rPr>
          <w:rFonts w:ascii="Book Antiqua" w:hAnsi="Book Antiqua"/>
        </w:rPr>
        <w:t>the problem for each one to work out concrete</w:t>
      </w:r>
      <w:r w:rsidR="007F5887">
        <w:rPr>
          <w:rFonts w:ascii="Book Antiqua" w:hAnsi="Book Antiqua"/>
        </w:rPr>
        <w:t>ly the good he can</w:t>
      </w:r>
      <w:r w:rsidR="00A81B16">
        <w:rPr>
          <w:rFonts w:ascii="Book Antiqua" w:hAnsi="Book Antiqua"/>
        </w:rPr>
        <w:t xml:space="preserve"> </w:t>
      </w:r>
      <w:r w:rsidR="007F5887">
        <w:rPr>
          <w:rFonts w:ascii="Book Antiqua" w:hAnsi="Book Antiqua"/>
        </w:rPr>
        <w:t>d</w:t>
      </w:r>
      <w:r w:rsidR="00A81B16">
        <w:rPr>
          <w:rFonts w:ascii="Book Antiqua" w:hAnsi="Book Antiqua"/>
        </w:rPr>
        <w:t>o</w:t>
      </w:r>
      <w:r w:rsidR="007F5887">
        <w:rPr>
          <w:rFonts w:ascii="Book Antiqua" w:hAnsi="Book Antiqua"/>
        </w:rPr>
        <w:t xml:space="preserve"> by his decis</w:t>
      </w:r>
      <w:r w:rsidR="00A81B16">
        <w:rPr>
          <w:rFonts w:ascii="Book Antiqua" w:hAnsi="Book Antiqua"/>
        </w:rPr>
        <w:t>ion</w:t>
      </w:r>
      <w:r w:rsidR="007F5887">
        <w:rPr>
          <w:rFonts w:ascii="Book Antiqua" w:hAnsi="Book Antiqua"/>
        </w:rPr>
        <w:t xml:space="preserve">. . . </w:t>
      </w:r>
      <w:r>
        <w:rPr>
          <w:rFonts w:ascii="Book Antiqua" w:hAnsi="Book Antiqua"/>
        </w:rPr>
        <w:t xml:space="preserve">with his potentialities and possibilities;” Peter Hawkins’s </w:t>
      </w:r>
      <w:r w:rsidR="00A46FD2">
        <w:rPr>
          <w:rFonts w:ascii="Book Antiqua" w:hAnsi="Book Antiqua"/>
        </w:rPr>
        <w:t xml:space="preserve">interpretation of Percy’s novelistic method of ‘placing a person in a situation, and seeing what happens;’ the Lovings happening </w:t>
      </w:r>
      <w:r w:rsidR="00324182">
        <w:rPr>
          <w:rFonts w:ascii="Book Antiqua" w:hAnsi="Book Antiqua"/>
        </w:rPr>
        <w:t>to fall in love, and choosing the</w:t>
      </w:r>
      <w:r w:rsidR="00A46FD2">
        <w:rPr>
          <w:rFonts w:ascii="Book Antiqua" w:hAnsi="Book Antiqua"/>
        </w:rPr>
        <w:t xml:space="preserve"> means to make their unique</w:t>
      </w:r>
      <w:r w:rsidR="00B411A7">
        <w:rPr>
          <w:rFonts w:ascii="Book Antiqua" w:hAnsi="Book Antiqua"/>
        </w:rPr>
        <w:t>, pathfinding</w:t>
      </w:r>
      <w:r w:rsidR="00A46FD2">
        <w:rPr>
          <w:rFonts w:ascii="Book Antiqua" w:hAnsi="Book Antiqua"/>
        </w:rPr>
        <w:t xml:space="preserve"> way forward; Noo</w:t>
      </w:r>
      <w:r w:rsidR="00EA3DF1">
        <w:rPr>
          <w:rFonts w:ascii="Book Antiqua" w:hAnsi="Book Antiqua"/>
        </w:rPr>
        <w:t xml:space="preserve">nan’s noting that </w:t>
      </w:r>
      <w:r w:rsidR="00A46FD2">
        <w:rPr>
          <w:rFonts w:ascii="Book Antiqua" w:hAnsi="Book Antiqua"/>
        </w:rPr>
        <w:t xml:space="preserve">our understanding of revelation has often deepened precisely by attending empathetically to persons choosing ‘other’ means to the end than had previously been understood; Camus’s insistence that we “get away from abstraction” as we confront the blood-stained face of history; St. Thomas’s movement beyond </w:t>
      </w:r>
      <w:r w:rsidR="003B74AA">
        <w:rPr>
          <w:rFonts w:ascii="Book Antiqua" w:hAnsi="Book Antiqua"/>
        </w:rPr>
        <w:t>both Platonist</w:t>
      </w:r>
      <w:r w:rsidR="00A46FD2">
        <w:rPr>
          <w:rFonts w:ascii="Book Antiqua" w:hAnsi="Book Antiqua"/>
        </w:rPr>
        <w:t xml:space="preserve"> </w:t>
      </w:r>
      <w:r w:rsidR="003B74AA">
        <w:rPr>
          <w:rFonts w:ascii="Book Antiqua" w:hAnsi="Book Antiqua"/>
        </w:rPr>
        <w:t xml:space="preserve">metaphysics and </w:t>
      </w:r>
      <w:r w:rsidR="004B1483">
        <w:rPr>
          <w:rFonts w:ascii="Book Antiqua" w:hAnsi="Book Antiqua"/>
        </w:rPr>
        <w:t>epistemology</w:t>
      </w:r>
      <w:r w:rsidR="00A46FD2">
        <w:rPr>
          <w:rFonts w:ascii="Book Antiqua" w:hAnsi="Book Antiqua"/>
        </w:rPr>
        <w:t xml:space="preserve"> by attending to his own interiority, the intentionality of his own consciousness; Chenu’s interpretation of Thomas as “beginning with concrete human desire;</w:t>
      </w:r>
      <w:r w:rsidR="00324182">
        <w:rPr>
          <w:rFonts w:ascii="Book Antiqua" w:hAnsi="Book Antiqua"/>
        </w:rPr>
        <w:t>”</w:t>
      </w:r>
      <w:r w:rsidR="00A46FD2">
        <w:rPr>
          <w:rFonts w:ascii="Book Antiqua" w:hAnsi="Book Antiqua"/>
        </w:rPr>
        <w:t xml:space="preserve"> Geertz on “the particular minds of particular savages in particular jungles;” the Curoes struggling to find the</w:t>
      </w:r>
      <w:r w:rsidR="00324182">
        <w:rPr>
          <w:rFonts w:ascii="Book Antiqua" w:hAnsi="Book Antiqua"/>
        </w:rPr>
        <w:t xml:space="preserve">ir own </w:t>
      </w:r>
      <w:r w:rsidR="00344C51">
        <w:rPr>
          <w:rFonts w:ascii="Book Antiqua" w:hAnsi="Book Antiqua"/>
        </w:rPr>
        <w:t xml:space="preserve">loving </w:t>
      </w:r>
      <w:r w:rsidR="00163023">
        <w:rPr>
          <w:rFonts w:ascii="Book Antiqua" w:hAnsi="Book Antiqua"/>
        </w:rPr>
        <w:t xml:space="preserve">way, </w:t>
      </w:r>
      <w:r w:rsidR="00324182">
        <w:rPr>
          <w:rFonts w:ascii="Book Antiqua" w:hAnsi="Book Antiqua"/>
        </w:rPr>
        <w:t xml:space="preserve">Church </w:t>
      </w:r>
      <w:r w:rsidR="00163023">
        <w:rPr>
          <w:rFonts w:ascii="Book Antiqua" w:hAnsi="Book Antiqua"/>
        </w:rPr>
        <w:t xml:space="preserve">and culture </w:t>
      </w:r>
      <w:r w:rsidR="00324182">
        <w:rPr>
          <w:rFonts w:ascii="Book Antiqua" w:hAnsi="Book Antiqua"/>
        </w:rPr>
        <w:t xml:space="preserve">having </w:t>
      </w:r>
      <w:r w:rsidR="00163023">
        <w:rPr>
          <w:rFonts w:ascii="Book Antiqua" w:hAnsi="Book Antiqua"/>
        </w:rPr>
        <w:t xml:space="preserve">both </w:t>
      </w:r>
      <w:r w:rsidR="00324182">
        <w:rPr>
          <w:rFonts w:ascii="Book Antiqua" w:hAnsi="Book Antiqua"/>
        </w:rPr>
        <w:t>declined</w:t>
      </w:r>
      <w:r w:rsidR="00A46FD2">
        <w:rPr>
          <w:rFonts w:ascii="Book Antiqua" w:hAnsi="Book Antiqua"/>
        </w:rPr>
        <w:t xml:space="preserve"> </w:t>
      </w:r>
      <w:r w:rsidR="00163023">
        <w:rPr>
          <w:rFonts w:ascii="Book Antiqua" w:hAnsi="Book Antiqua"/>
        </w:rPr>
        <w:t>t</w:t>
      </w:r>
      <w:r w:rsidR="00A46FD2">
        <w:rPr>
          <w:rFonts w:ascii="Book Antiqua" w:hAnsi="Book Antiqua"/>
        </w:rPr>
        <w:t>he</w:t>
      </w:r>
      <w:r w:rsidR="00163023">
        <w:rPr>
          <w:rFonts w:ascii="Book Antiqua" w:hAnsi="Book Antiqua"/>
        </w:rPr>
        <w:t>i</w:t>
      </w:r>
      <w:r w:rsidR="00A46FD2">
        <w:rPr>
          <w:rFonts w:ascii="Book Antiqua" w:hAnsi="Book Antiqua"/>
        </w:rPr>
        <w:t>r assistance.  In short, Lonergan’s option:  “One can begin from people as they are.”</w:t>
      </w:r>
    </w:p>
    <w:p w:rsidR="00A46FD2" w:rsidRDefault="00A46FD2" w:rsidP="004F645C">
      <w:pPr>
        <w:tabs>
          <w:tab w:val="left" w:pos="0"/>
        </w:tabs>
        <w:spacing w:after="120"/>
        <w:rPr>
          <w:rFonts w:ascii="Book Antiqua" w:hAnsi="Book Antiqua"/>
        </w:rPr>
      </w:pPr>
      <w:r>
        <w:rPr>
          <w:rFonts w:ascii="Book Antiqua" w:hAnsi="Book Antiqua"/>
        </w:rPr>
        <w:lastRenderedPageBreak/>
        <w:tab/>
        <w:t>I appreciate the Wisdom of Pope John Paul and Cardinal Scola</w:t>
      </w:r>
      <w:r w:rsidR="004C0633">
        <w:rPr>
          <w:rFonts w:ascii="Book Antiqua" w:hAnsi="Book Antiqua"/>
        </w:rPr>
        <w:t>, but Wisdom, however necessary, is not sufficient.  Current ecclesiastical Wisdom does not bound the Holy Spirit’s gift of cou</w:t>
      </w:r>
      <w:r w:rsidR="00D84016">
        <w:rPr>
          <w:rFonts w:ascii="Book Antiqua" w:hAnsi="Book Antiqua"/>
        </w:rPr>
        <w:t>nsel.  That Spirit blows where S</w:t>
      </w:r>
      <w:r w:rsidR="004C0633">
        <w:rPr>
          <w:rFonts w:ascii="Book Antiqua" w:hAnsi="Book Antiqua"/>
        </w:rPr>
        <w:t>he wills.  And if hierarchs will not extend the beatitude of mercy to those seeking such counsel, thank God there are more merciful souls in the Church.</w:t>
      </w:r>
    </w:p>
    <w:p w:rsidR="00262943" w:rsidRDefault="00262943" w:rsidP="004F645C">
      <w:pPr>
        <w:tabs>
          <w:tab w:val="left" w:pos="0"/>
        </w:tabs>
        <w:spacing w:after="120"/>
        <w:rPr>
          <w:rFonts w:ascii="Book Antiqua" w:hAnsi="Book Antiqua"/>
        </w:rPr>
      </w:pPr>
      <w:r>
        <w:rPr>
          <w:rFonts w:ascii="Book Antiqua" w:hAnsi="Book Antiqua"/>
        </w:rPr>
        <w:tab/>
        <w:t>Long ago, Fr. Berrigan spoke of hearing what St. Thomas called the ‘command’ of action in singular choice of means:</w:t>
      </w:r>
    </w:p>
    <w:p w:rsidR="00262943" w:rsidRPr="00262943" w:rsidRDefault="00262943" w:rsidP="00262943">
      <w:pPr>
        <w:tabs>
          <w:tab w:val="left" w:pos="720"/>
        </w:tabs>
        <w:spacing w:after="120"/>
        <w:ind w:left="720" w:right="720"/>
        <w:rPr>
          <w:rFonts w:ascii="Book Antiqua" w:hAnsi="Book Antiqua"/>
          <w:sz w:val="20"/>
          <w:szCs w:val="20"/>
        </w:rPr>
      </w:pPr>
      <w:r>
        <w:rPr>
          <w:rFonts w:ascii="Book Antiqua" w:hAnsi="Book Antiqua"/>
          <w:sz w:val="20"/>
          <w:szCs w:val="20"/>
        </w:rPr>
        <w:t>Our apologies, good friends, for the fracture of good order, the burning of paper instead of children, the angering of the orderlies in the front parlor of the charnel house.  We could not, so help us God, do otherwise.</w:t>
      </w:r>
      <w:r>
        <w:rPr>
          <w:rStyle w:val="FootnoteReference"/>
          <w:rFonts w:ascii="Book Antiqua" w:hAnsi="Book Antiqua"/>
          <w:sz w:val="20"/>
          <w:szCs w:val="20"/>
        </w:rPr>
        <w:footnoteReference w:id="256"/>
      </w:r>
    </w:p>
    <w:p w:rsidR="00D20718" w:rsidRDefault="009205ED" w:rsidP="004F645C">
      <w:pPr>
        <w:tabs>
          <w:tab w:val="left" w:pos="0"/>
        </w:tabs>
        <w:spacing w:after="120"/>
        <w:rPr>
          <w:rFonts w:ascii="Book Antiqua" w:hAnsi="Book Antiqua"/>
        </w:rPr>
      </w:pPr>
      <w:r>
        <w:rPr>
          <w:rFonts w:ascii="Book Antiqua" w:hAnsi="Book Antiqua"/>
        </w:rPr>
        <w:t>I suspect Abelard and Heloise would have understood; they could not have done otherwise and remained faithful, neither to themselves</w:t>
      </w:r>
      <w:r w:rsidR="00447BB9">
        <w:rPr>
          <w:rFonts w:ascii="Book Antiqua" w:hAnsi="Book Antiqua"/>
        </w:rPr>
        <w:t xml:space="preserve"> and to each other</w:t>
      </w:r>
      <w:r>
        <w:rPr>
          <w:rFonts w:ascii="Book Antiqua" w:hAnsi="Book Antiqua"/>
        </w:rPr>
        <w:t xml:space="preserve">, nor to God.  And they are not the last lovers </w:t>
      </w:r>
      <w:r w:rsidR="007F70EE">
        <w:rPr>
          <w:rFonts w:ascii="Book Antiqua" w:hAnsi="Book Antiqua"/>
        </w:rPr>
        <w:t>faced with the choice between fidelity and social</w:t>
      </w:r>
      <w:r w:rsidR="00BC4747">
        <w:rPr>
          <w:rFonts w:ascii="Book Antiqua" w:hAnsi="Book Antiqua"/>
        </w:rPr>
        <w:t>, indeed ecclesial,</w:t>
      </w:r>
      <w:r w:rsidR="007F70EE">
        <w:rPr>
          <w:rFonts w:ascii="Book Antiqua" w:hAnsi="Book Antiqua"/>
        </w:rPr>
        <w:t xml:space="preserve"> </w:t>
      </w:r>
      <w:r w:rsidR="00447BB9">
        <w:rPr>
          <w:rFonts w:ascii="Book Antiqua" w:hAnsi="Book Antiqua"/>
        </w:rPr>
        <w:t>respectability</w:t>
      </w:r>
      <w:r w:rsidR="007F70EE">
        <w:rPr>
          <w:rFonts w:ascii="Book Antiqua" w:hAnsi="Book Antiqua"/>
        </w:rPr>
        <w:t>.</w:t>
      </w:r>
    </w:p>
    <w:p w:rsidR="009205ED" w:rsidRDefault="009205ED" w:rsidP="004F645C">
      <w:pPr>
        <w:tabs>
          <w:tab w:val="left" w:pos="0"/>
        </w:tabs>
        <w:spacing w:after="120"/>
        <w:rPr>
          <w:rFonts w:ascii="Book Antiqua" w:hAnsi="Book Antiqua"/>
        </w:rPr>
      </w:pPr>
      <w:r>
        <w:rPr>
          <w:rFonts w:ascii="Book Antiqua" w:hAnsi="Book Antiqua"/>
        </w:rPr>
        <w:tab/>
        <w:t>No gay man or woman has asked to be who they are.  Nor have I, nor you.  We are all thrown into this world, singul</w:t>
      </w:r>
      <w:r w:rsidR="00344C51">
        <w:rPr>
          <w:rFonts w:ascii="Book Antiqua" w:hAnsi="Book Antiqua"/>
        </w:rPr>
        <w:t>arities and contingencies abounding</w:t>
      </w:r>
      <w:r>
        <w:rPr>
          <w:rFonts w:ascii="Book Antiqua" w:hAnsi="Book Antiqua"/>
        </w:rPr>
        <w:t>.</w:t>
      </w:r>
      <w:r w:rsidR="00D25958">
        <w:rPr>
          <w:rFonts w:ascii="Book Antiqua" w:hAnsi="Book Antiqua"/>
        </w:rPr>
        <w:t xml:space="preserve">  Our call is to make of them the most beautiful lives that we can.  And the </w:t>
      </w:r>
      <w:r w:rsidR="0096476B">
        <w:rPr>
          <w:rFonts w:ascii="Book Antiqua" w:hAnsi="Book Antiqua"/>
        </w:rPr>
        <w:t xml:space="preserve">terrifying </w:t>
      </w:r>
      <w:r w:rsidR="00D25958">
        <w:rPr>
          <w:rFonts w:ascii="Book Antiqua" w:hAnsi="Book Antiqua"/>
        </w:rPr>
        <w:t xml:space="preserve">responsibility for choosing the means of that making in </w:t>
      </w:r>
      <w:r w:rsidR="00D25958" w:rsidRPr="00D25958">
        <w:rPr>
          <w:rFonts w:ascii="Book Antiqua" w:hAnsi="Book Antiqua"/>
          <w:i/>
        </w:rPr>
        <w:t>my</w:t>
      </w:r>
      <w:r w:rsidR="00D25958">
        <w:rPr>
          <w:rFonts w:ascii="Book Antiqua" w:hAnsi="Book Antiqua"/>
        </w:rPr>
        <w:t xml:space="preserve"> life is </w:t>
      </w:r>
      <w:r w:rsidR="00D25958" w:rsidRPr="00D25958">
        <w:rPr>
          <w:rFonts w:ascii="Book Antiqua" w:hAnsi="Book Antiqua"/>
          <w:i/>
        </w:rPr>
        <w:t>mine</w:t>
      </w:r>
      <w:r w:rsidR="00D25958">
        <w:rPr>
          <w:rFonts w:ascii="Book Antiqua" w:hAnsi="Book Antiqua"/>
        </w:rPr>
        <w:t xml:space="preserve">.  In </w:t>
      </w:r>
      <w:r w:rsidR="00D25958" w:rsidRPr="00D25958">
        <w:rPr>
          <w:rFonts w:ascii="Book Antiqua" w:hAnsi="Book Antiqua"/>
          <w:i/>
        </w:rPr>
        <w:t>your</w:t>
      </w:r>
      <w:r w:rsidR="00D25958">
        <w:rPr>
          <w:rFonts w:ascii="Book Antiqua" w:hAnsi="Book Antiqua"/>
        </w:rPr>
        <w:t xml:space="preserve"> life, it is </w:t>
      </w:r>
      <w:r w:rsidR="00D25958" w:rsidRPr="00D25958">
        <w:rPr>
          <w:rFonts w:ascii="Book Antiqua" w:hAnsi="Book Antiqua"/>
          <w:i/>
        </w:rPr>
        <w:t>yours</w:t>
      </w:r>
      <w:r w:rsidR="00D25958">
        <w:rPr>
          <w:rFonts w:ascii="Book Antiqua" w:hAnsi="Book Antiqua"/>
        </w:rPr>
        <w:t>.</w:t>
      </w:r>
    </w:p>
    <w:p w:rsidR="00C546FE" w:rsidRDefault="00C546FE" w:rsidP="00C546FE">
      <w:pPr>
        <w:tabs>
          <w:tab w:val="left" w:pos="0"/>
        </w:tabs>
        <w:spacing w:after="120"/>
        <w:rPr>
          <w:rFonts w:ascii="Book Antiqua" w:hAnsi="Book Antiqua"/>
        </w:rPr>
      </w:pPr>
      <w:r>
        <w:rPr>
          <w:rFonts w:ascii="Book Antiqua" w:hAnsi="Book Antiqua"/>
        </w:rPr>
        <w:tab/>
        <w:t xml:space="preserve">And that choosing occurs within </w:t>
      </w:r>
      <w:r w:rsidR="008F6403">
        <w:rPr>
          <w:rFonts w:ascii="Book Antiqua" w:hAnsi="Book Antiqua"/>
        </w:rPr>
        <w:t xml:space="preserve">real </w:t>
      </w:r>
      <w:r>
        <w:rPr>
          <w:rFonts w:ascii="Book Antiqua" w:hAnsi="Book Antiqua"/>
        </w:rPr>
        <w:t>limits.  Fr. Lonergan distinguished between essential and effective freedom.</w:t>
      </w:r>
      <w:r>
        <w:rPr>
          <w:rStyle w:val="FootnoteReference"/>
          <w:rFonts w:ascii="Book Antiqua" w:hAnsi="Book Antiqua"/>
        </w:rPr>
        <w:footnoteReference w:id="257"/>
      </w:r>
      <w:r>
        <w:rPr>
          <w:rFonts w:ascii="Book Antiqua" w:hAnsi="Book Antiqua"/>
        </w:rPr>
        <w:t xml:space="preserve">  He argued that far too much theological controversy regarding free will has been little more than abstraction confronting abstraction, with far too little attention to our concrete experience, in which freedom is both real and situated.  We are essentially free to respond or not to the promptings of grace, but there are both external and internal limitations of that freedom.  I am not free to respond as someone else, </w:t>
      </w:r>
      <w:r w:rsidR="00FA28D7">
        <w:rPr>
          <w:rFonts w:ascii="Book Antiqua" w:hAnsi="Book Antiqua"/>
        </w:rPr>
        <w:t>nor as someone else’s ideal of who I should be</w:t>
      </w:r>
      <w:r>
        <w:rPr>
          <w:rFonts w:ascii="Book Antiqua" w:hAnsi="Book Antiqua"/>
        </w:rPr>
        <w:t>.  There are sociocultural, psychoneural, and intellectual facts which situate my free response, making it singular and contingent, not universal and necessary.  Thus, my freedom must be exercised prudently</w:t>
      </w:r>
      <w:r w:rsidR="00A3453B">
        <w:rPr>
          <w:rFonts w:ascii="Book Antiqua" w:hAnsi="Book Antiqua"/>
        </w:rPr>
        <w:t>, not just wisely.</w:t>
      </w:r>
    </w:p>
    <w:p w:rsidR="00913BD5" w:rsidRDefault="00913BD5" w:rsidP="00C546FE">
      <w:pPr>
        <w:tabs>
          <w:tab w:val="left" w:pos="0"/>
        </w:tabs>
        <w:spacing w:after="120"/>
        <w:rPr>
          <w:rFonts w:ascii="Book Antiqua" w:hAnsi="Book Antiqua"/>
        </w:rPr>
      </w:pPr>
      <w:r>
        <w:rPr>
          <w:rFonts w:ascii="Book Antiqua" w:hAnsi="Book Antiqua"/>
        </w:rPr>
        <w:tab/>
        <w:t xml:space="preserve">Politically, the question is whether to allow a wider range of persons the space in which to exercise their </w:t>
      </w:r>
      <w:r w:rsidR="007F70EE">
        <w:rPr>
          <w:rFonts w:ascii="Book Antiqua" w:hAnsi="Book Antiqua"/>
        </w:rPr>
        <w:t xml:space="preserve">personal </w:t>
      </w:r>
      <w:r>
        <w:rPr>
          <w:rFonts w:ascii="Book Antiqua" w:hAnsi="Book Antiqua"/>
        </w:rPr>
        <w:t>prudent</w:t>
      </w:r>
      <w:r w:rsidR="007F70EE">
        <w:rPr>
          <w:rFonts w:ascii="Book Antiqua" w:hAnsi="Book Antiqua"/>
        </w:rPr>
        <w:t>ial</w:t>
      </w:r>
      <w:r>
        <w:rPr>
          <w:rFonts w:ascii="Book Antiqua" w:hAnsi="Book Antiqua"/>
        </w:rPr>
        <w:t xml:space="preserve"> judgment</w:t>
      </w:r>
      <w:r w:rsidR="00C54FE6">
        <w:rPr>
          <w:rFonts w:ascii="Book Antiqua" w:hAnsi="Book Antiqua"/>
        </w:rPr>
        <w:t xml:space="preserve"> in the quest for human integrity</w:t>
      </w:r>
      <w:r>
        <w:rPr>
          <w:rFonts w:ascii="Book Antiqua" w:hAnsi="Book Antiqua"/>
        </w:rPr>
        <w:t>.  Restriction of that range has not been particularly successful in freeing gay persons for the dramatic artistry of love.  In restricting the</w:t>
      </w:r>
      <w:r w:rsidR="00733CDD">
        <w:rPr>
          <w:rFonts w:ascii="Book Antiqua" w:hAnsi="Book Antiqua"/>
        </w:rPr>
        <w:t xml:space="preserve"> means, we seem to have made </w:t>
      </w:r>
      <w:r>
        <w:rPr>
          <w:rFonts w:ascii="Book Antiqua" w:hAnsi="Book Antiqua"/>
        </w:rPr>
        <w:t xml:space="preserve">the road to the destined end of human existence </w:t>
      </w:r>
      <w:r w:rsidR="00513DF5">
        <w:rPr>
          <w:rFonts w:ascii="Book Antiqua" w:hAnsi="Book Antiqua"/>
        </w:rPr>
        <w:t xml:space="preserve">more of </w:t>
      </w:r>
      <w:r>
        <w:rPr>
          <w:rFonts w:ascii="Book Antiqua" w:hAnsi="Book Antiqua"/>
        </w:rPr>
        <w:t>an obstacle course</w:t>
      </w:r>
      <w:r w:rsidR="00513DF5">
        <w:rPr>
          <w:rFonts w:ascii="Book Antiqua" w:hAnsi="Book Antiqua"/>
        </w:rPr>
        <w:t xml:space="preserve"> than it need be</w:t>
      </w:r>
      <w:r>
        <w:rPr>
          <w:rFonts w:ascii="Book Antiqua" w:hAnsi="Book Antiqua"/>
        </w:rPr>
        <w:t xml:space="preserve">.  There is no reason whatsoever to expect that </w:t>
      </w:r>
      <w:r w:rsidR="00AC4350">
        <w:rPr>
          <w:rFonts w:ascii="Book Antiqua" w:hAnsi="Book Antiqua"/>
        </w:rPr>
        <w:t xml:space="preserve">all, even many, </w:t>
      </w:r>
      <w:r>
        <w:rPr>
          <w:rFonts w:ascii="Book Antiqua" w:hAnsi="Book Antiqua"/>
        </w:rPr>
        <w:t>homosexually inclined persons are effectively free to live beautiful</w:t>
      </w:r>
      <w:r w:rsidR="001C0893">
        <w:rPr>
          <w:rFonts w:ascii="Book Antiqua" w:hAnsi="Book Antiqua"/>
        </w:rPr>
        <w:t>ly</w:t>
      </w:r>
      <w:r w:rsidR="0001636B">
        <w:rPr>
          <w:rFonts w:ascii="Book Antiqua" w:hAnsi="Book Antiqua"/>
        </w:rPr>
        <w:t xml:space="preserve"> and well as celibates; any more </w:t>
      </w:r>
      <w:r>
        <w:rPr>
          <w:rFonts w:ascii="Book Antiqua" w:hAnsi="Book Antiqua"/>
        </w:rPr>
        <w:t>than is true of heterosexually inclined persons.</w:t>
      </w:r>
      <w:r w:rsidR="003B74AA">
        <w:rPr>
          <w:rStyle w:val="FootnoteReference"/>
          <w:rFonts w:ascii="Book Antiqua" w:hAnsi="Book Antiqua"/>
        </w:rPr>
        <w:footnoteReference w:id="258"/>
      </w:r>
      <w:r>
        <w:rPr>
          <w:rFonts w:ascii="Book Antiqua" w:hAnsi="Book Antiqua"/>
        </w:rPr>
        <w:t xml:space="preserve">  Asserting this to be the only good and beautiful choice is literally ‘utopian’ – it happens </w:t>
      </w:r>
      <w:r w:rsidRPr="00913BD5">
        <w:rPr>
          <w:rFonts w:ascii="Book Antiqua" w:hAnsi="Book Antiqua"/>
          <w:i/>
        </w:rPr>
        <w:t>no</w:t>
      </w:r>
      <w:r>
        <w:rPr>
          <w:rFonts w:ascii="Book Antiqua" w:hAnsi="Book Antiqua"/>
        </w:rPr>
        <w:t xml:space="preserve"> </w:t>
      </w:r>
      <w:r w:rsidRPr="00913BD5">
        <w:rPr>
          <w:rFonts w:ascii="Book Antiqua" w:hAnsi="Book Antiqua"/>
          <w:i/>
        </w:rPr>
        <w:t>place</w:t>
      </w:r>
      <w:r>
        <w:rPr>
          <w:rFonts w:ascii="Book Antiqua" w:hAnsi="Book Antiqua"/>
        </w:rPr>
        <w:t xml:space="preserve">.  Never has; no </w:t>
      </w:r>
      <w:r>
        <w:rPr>
          <w:rFonts w:ascii="Book Antiqua" w:hAnsi="Book Antiqua"/>
        </w:rPr>
        <w:lastRenderedPageBreak/>
        <w:t>reason to expect that it ever will.  The Church has been admirably suspicious of utopian thinking in the economic realm, yet how insistently utopian in the sexual.</w:t>
      </w:r>
    </w:p>
    <w:p w:rsidR="00A73DAB" w:rsidRDefault="00A73DAB" w:rsidP="00C546FE">
      <w:pPr>
        <w:tabs>
          <w:tab w:val="left" w:pos="0"/>
        </w:tabs>
        <w:spacing w:after="120"/>
        <w:rPr>
          <w:rFonts w:ascii="Book Antiqua" w:hAnsi="Book Antiqua"/>
        </w:rPr>
      </w:pPr>
      <w:r>
        <w:rPr>
          <w:rFonts w:ascii="Book Antiqua" w:hAnsi="Book Antiqua"/>
        </w:rPr>
        <w:tab/>
        <w:t xml:space="preserve">Liberals </w:t>
      </w:r>
      <w:r w:rsidR="00AC4350">
        <w:rPr>
          <w:rFonts w:ascii="Book Antiqua" w:hAnsi="Book Antiqua"/>
        </w:rPr>
        <w:t xml:space="preserve">drive me nuts with their </w:t>
      </w:r>
      <w:r>
        <w:rPr>
          <w:rFonts w:ascii="Book Antiqua" w:hAnsi="Book Antiqua"/>
        </w:rPr>
        <w:t>tend</w:t>
      </w:r>
      <w:r w:rsidR="00AC4350">
        <w:rPr>
          <w:rFonts w:ascii="Book Antiqua" w:hAnsi="Book Antiqua"/>
        </w:rPr>
        <w:t>ency</w:t>
      </w:r>
      <w:r>
        <w:rPr>
          <w:rFonts w:ascii="Book Antiqua" w:hAnsi="Book Antiqua"/>
        </w:rPr>
        <w:t xml:space="preserve"> toward social engineering, often with disastrous consequences.  On this particular issue, though, they may well be pointing out that we’ve been engaged in social engineering for centuries, trying to make peopl</w:t>
      </w:r>
      <w:r w:rsidR="00370CC4">
        <w:rPr>
          <w:rFonts w:ascii="Book Antiqua" w:hAnsi="Book Antiqua"/>
        </w:rPr>
        <w:t>e into something other than who</w:t>
      </w:r>
      <w:r>
        <w:rPr>
          <w:rFonts w:ascii="Book Antiqua" w:hAnsi="Book Antiqua"/>
        </w:rPr>
        <w:t xml:space="preserve"> they are.  The consequences </w:t>
      </w:r>
      <w:r w:rsidRPr="00C32E4A">
        <w:rPr>
          <w:rFonts w:ascii="Book Antiqua" w:hAnsi="Book Antiqua"/>
          <w:i/>
        </w:rPr>
        <w:t>have</w:t>
      </w:r>
      <w:r>
        <w:rPr>
          <w:rFonts w:ascii="Book Antiqua" w:hAnsi="Book Antiqua"/>
        </w:rPr>
        <w:t xml:space="preserve"> been disastrous.  </w:t>
      </w:r>
      <w:r w:rsidR="00FA28D7">
        <w:rPr>
          <w:rFonts w:ascii="Book Antiqua" w:hAnsi="Book Antiqua"/>
        </w:rPr>
        <w:t>So m</w:t>
      </w:r>
      <w:r w:rsidR="0016298E">
        <w:rPr>
          <w:rFonts w:ascii="Book Antiqua" w:hAnsi="Book Antiqua"/>
        </w:rPr>
        <w:t xml:space="preserve">aybe it’s time for </w:t>
      </w:r>
      <w:r w:rsidR="00FA6EA3">
        <w:rPr>
          <w:rFonts w:ascii="Book Antiqua" w:hAnsi="Book Antiqua"/>
        </w:rPr>
        <w:t>the engineering to stop, and to see what artistry might begin.</w:t>
      </w:r>
    </w:p>
    <w:p w:rsidR="00A73DAB" w:rsidRPr="00913BD5" w:rsidRDefault="00A73DAB" w:rsidP="00C546FE">
      <w:pPr>
        <w:tabs>
          <w:tab w:val="left" w:pos="0"/>
        </w:tabs>
        <w:spacing w:after="120"/>
        <w:rPr>
          <w:rFonts w:ascii="Book Antiqua" w:hAnsi="Book Antiqua"/>
        </w:rPr>
      </w:pPr>
      <w:r>
        <w:rPr>
          <w:rFonts w:ascii="Book Antiqua" w:hAnsi="Book Antiqua"/>
        </w:rPr>
        <w:tab/>
        <w:t xml:space="preserve">Gay persons in our society have been presented with three options from which to choose in order to make of their lives a work of art before God:  (i) celibacy, (ii) promiscuity, and             (iii) faithful relationships without social support, indeed without social visibility.  Heterosexual experience can tell us how difficult faithful relationships are, even with social visibility </w:t>
      </w:r>
      <w:r w:rsidR="00E9458A">
        <w:rPr>
          <w:rFonts w:ascii="Book Antiqua" w:hAnsi="Book Antiqua"/>
        </w:rPr>
        <w:t>and support.  I</w:t>
      </w:r>
      <w:r>
        <w:rPr>
          <w:rFonts w:ascii="Book Antiqua" w:hAnsi="Book Antiqua"/>
        </w:rPr>
        <w:t xml:space="preserve">t, too, can tell us how few </w:t>
      </w:r>
      <w:proofErr w:type="gramStart"/>
      <w:r>
        <w:rPr>
          <w:rFonts w:ascii="Book Antiqua" w:hAnsi="Book Antiqua"/>
        </w:rPr>
        <w:t>are those for whom celibacy is a real, effective option</w:t>
      </w:r>
      <w:proofErr w:type="gramEnd"/>
      <w:r>
        <w:rPr>
          <w:rFonts w:ascii="Book Antiqua" w:hAnsi="Book Antiqua"/>
        </w:rPr>
        <w:t>.</w:t>
      </w:r>
      <w:r w:rsidR="0016298E">
        <w:rPr>
          <w:rFonts w:ascii="Book Antiqua" w:hAnsi="Book Antiqua"/>
        </w:rPr>
        <w:t xml:space="preserve">  It can tell us, as well, how difficult it is for </w:t>
      </w:r>
      <w:r w:rsidR="00310DB8">
        <w:rPr>
          <w:rFonts w:ascii="Book Antiqua" w:hAnsi="Book Antiqua"/>
        </w:rPr>
        <w:t>promiscuity</w:t>
      </w:r>
      <w:r w:rsidR="0016298E">
        <w:rPr>
          <w:rFonts w:ascii="Book Antiqua" w:hAnsi="Book Antiqua"/>
        </w:rPr>
        <w:t xml:space="preserve"> to constitute a beautiful life.</w:t>
      </w:r>
    </w:p>
    <w:p w:rsidR="00D20718" w:rsidRDefault="00FA28D7" w:rsidP="004F645C">
      <w:pPr>
        <w:tabs>
          <w:tab w:val="left" w:pos="0"/>
        </w:tabs>
        <w:spacing w:after="120"/>
        <w:rPr>
          <w:rFonts w:ascii="Book Antiqua" w:hAnsi="Book Antiqua"/>
        </w:rPr>
      </w:pPr>
      <w:r>
        <w:rPr>
          <w:rFonts w:ascii="Book Antiqua" w:hAnsi="Book Antiqua"/>
        </w:rPr>
        <w:tab/>
        <w:t>Might civil society not decide</w:t>
      </w:r>
      <w:r w:rsidR="007B46DF">
        <w:rPr>
          <w:rFonts w:ascii="Book Antiqua" w:hAnsi="Book Antiqua"/>
        </w:rPr>
        <w:t xml:space="preserve"> that it has a reasonable stake in the promotion of stable, faithful sexual relationships in the widest range possible of its citizenry?  Might it not, in fact, be admirable for persons who have been excluded from expectation of sexual responsibility to step forward and ask for the right to accept such responsibility</w:t>
      </w:r>
      <w:r w:rsidR="001F38D7">
        <w:rPr>
          <w:rFonts w:ascii="Book Antiqua" w:hAnsi="Book Antiqua"/>
        </w:rPr>
        <w:t xml:space="preserve"> publicly</w:t>
      </w:r>
      <w:r w:rsidR="007B46DF">
        <w:rPr>
          <w:rFonts w:ascii="Book Antiqua" w:hAnsi="Book Antiqua"/>
        </w:rPr>
        <w:t>?  Both seem like positively conservative possibilities.</w:t>
      </w:r>
    </w:p>
    <w:p w:rsidR="007B46DF" w:rsidRDefault="007B46DF" w:rsidP="004F645C">
      <w:pPr>
        <w:tabs>
          <w:tab w:val="left" w:pos="0"/>
        </w:tabs>
        <w:spacing w:after="120"/>
        <w:rPr>
          <w:rFonts w:ascii="Book Antiqua" w:hAnsi="Book Antiqua"/>
        </w:rPr>
      </w:pPr>
      <w:r>
        <w:rPr>
          <w:rFonts w:ascii="Book Antiqua" w:hAnsi="Book Antiqua"/>
        </w:rPr>
        <w:tab/>
        <w:t>Indeed, insistence on continuing on a course that has p</w:t>
      </w:r>
      <w:r w:rsidR="00344C51">
        <w:rPr>
          <w:rFonts w:ascii="Book Antiqua" w:hAnsi="Book Antiqua"/>
        </w:rPr>
        <w:t xml:space="preserve">roven disastrous seems illiberal, </w:t>
      </w:r>
      <w:r w:rsidR="00444F15">
        <w:rPr>
          <w:rFonts w:ascii="Book Antiqua" w:hAnsi="Book Antiqua"/>
        </w:rPr>
        <w:t>un</w:t>
      </w:r>
      <w:r w:rsidR="00344C51">
        <w:rPr>
          <w:rFonts w:ascii="Book Antiqua" w:hAnsi="Book Antiqua"/>
        </w:rPr>
        <w:t>conservative, imprudent, and</w:t>
      </w:r>
      <w:r>
        <w:rPr>
          <w:rFonts w:ascii="Book Antiqua" w:hAnsi="Book Antiqua"/>
        </w:rPr>
        <w:t xml:space="preserve"> insane.</w:t>
      </w:r>
    </w:p>
    <w:p w:rsidR="00D20718" w:rsidRDefault="00296ECC" w:rsidP="004F645C">
      <w:pPr>
        <w:tabs>
          <w:tab w:val="left" w:pos="0"/>
        </w:tabs>
        <w:spacing w:after="120"/>
        <w:rPr>
          <w:rFonts w:ascii="Book Antiqua" w:hAnsi="Book Antiqua"/>
        </w:rPr>
      </w:pPr>
      <w:r>
        <w:rPr>
          <w:rFonts w:ascii="Book Antiqua" w:hAnsi="Book Antiqua"/>
        </w:rPr>
        <w:tab/>
      </w:r>
      <w:r>
        <w:rPr>
          <w:rFonts w:ascii="Book Antiqua" w:hAnsi="Book Antiqua"/>
          <w:u w:val="single"/>
        </w:rPr>
        <w:t xml:space="preserve">In the sixth instance, </w:t>
      </w:r>
      <w:r w:rsidR="007329A6">
        <w:rPr>
          <w:rFonts w:ascii="Book Antiqua" w:hAnsi="Book Antiqua"/>
          <w:u w:val="single"/>
        </w:rPr>
        <w:t xml:space="preserve">not only are Power and Authority distinct, </w:t>
      </w:r>
      <w:r w:rsidR="00BE64AD">
        <w:rPr>
          <w:rFonts w:ascii="Book Antiqua" w:hAnsi="Book Antiqua"/>
          <w:u w:val="single"/>
        </w:rPr>
        <w:t xml:space="preserve">in the Body of Christ </w:t>
      </w:r>
      <w:r w:rsidR="007329A6">
        <w:rPr>
          <w:rFonts w:ascii="Book Antiqua" w:hAnsi="Book Antiqua"/>
          <w:u w:val="single"/>
        </w:rPr>
        <w:t>they are mutually exclusive.</w:t>
      </w:r>
      <w:r w:rsidR="00FA28D7">
        <w:rPr>
          <w:rFonts w:ascii="Book Antiqua" w:hAnsi="Book Antiqua"/>
        </w:rPr>
        <w:t xml:space="preserve">  </w:t>
      </w:r>
    </w:p>
    <w:p w:rsidR="0006673B" w:rsidRPr="0006673B" w:rsidRDefault="0006673B" w:rsidP="0006673B">
      <w:pPr>
        <w:tabs>
          <w:tab w:val="left" w:pos="720"/>
        </w:tabs>
        <w:spacing w:after="120"/>
        <w:ind w:left="720" w:right="720"/>
        <w:rPr>
          <w:rFonts w:ascii="Book Antiqua" w:hAnsi="Book Antiqua"/>
          <w:sz w:val="20"/>
          <w:szCs w:val="20"/>
        </w:rPr>
      </w:pPr>
      <w:r>
        <w:rPr>
          <w:rFonts w:ascii="Book Antiqua" w:hAnsi="Book Antiqua"/>
          <w:sz w:val="20"/>
          <w:szCs w:val="20"/>
        </w:rPr>
        <w:t>Jesus finished his discourse and left the crowds spellbound at his teaching.  The reason was that he taught with authority and not like their scribes.</w:t>
      </w:r>
      <w:r>
        <w:rPr>
          <w:rStyle w:val="FootnoteReference"/>
          <w:rFonts w:ascii="Book Antiqua" w:hAnsi="Book Antiqua"/>
          <w:sz w:val="20"/>
          <w:szCs w:val="20"/>
        </w:rPr>
        <w:footnoteReference w:id="259"/>
      </w:r>
    </w:p>
    <w:p w:rsidR="00D20718" w:rsidRDefault="0006673B" w:rsidP="004F645C">
      <w:pPr>
        <w:tabs>
          <w:tab w:val="left" w:pos="0"/>
        </w:tabs>
        <w:spacing w:after="120"/>
        <w:rPr>
          <w:rFonts w:ascii="Book Antiqua" w:hAnsi="Book Antiqua"/>
        </w:rPr>
      </w:pPr>
      <w:r>
        <w:rPr>
          <w:rFonts w:ascii="Book Antiqua" w:hAnsi="Book Antiqua"/>
        </w:rPr>
        <w:t>Authority is ever so likely to end up on the cross, with Power pounding the nails.  It is precisely willingness to embrace the cross, and refusal to pound the nails, that constitute</w:t>
      </w:r>
      <w:r w:rsidR="00762899">
        <w:rPr>
          <w:rFonts w:ascii="Book Antiqua" w:hAnsi="Book Antiqua"/>
        </w:rPr>
        <w:t>s spiritual authority.  Drop your</w:t>
      </w:r>
      <w:r>
        <w:rPr>
          <w:rFonts w:ascii="Book Antiqua" w:hAnsi="Book Antiqua"/>
        </w:rPr>
        <w:t xml:space="preserve"> ham</w:t>
      </w:r>
      <w:r w:rsidR="00762899">
        <w:rPr>
          <w:rFonts w:ascii="Book Antiqua" w:hAnsi="Book Antiqua"/>
        </w:rPr>
        <w:t>mer, Archbishop, and pick up some</w:t>
      </w:r>
      <w:r>
        <w:rPr>
          <w:rFonts w:ascii="Book Antiqua" w:hAnsi="Book Antiqua"/>
        </w:rPr>
        <w:t xml:space="preserve"> </w:t>
      </w:r>
      <w:r w:rsidR="00370DF3">
        <w:rPr>
          <w:rFonts w:ascii="Book Antiqua" w:hAnsi="Book Antiqua"/>
        </w:rPr>
        <w:t>wood</w:t>
      </w:r>
      <w:r>
        <w:rPr>
          <w:rFonts w:ascii="Book Antiqua" w:hAnsi="Book Antiqua"/>
        </w:rPr>
        <w:t>.</w:t>
      </w:r>
      <w:r w:rsidR="008001BF">
        <w:rPr>
          <w:rFonts w:ascii="Book Antiqua" w:hAnsi="Book Antiqua"/>
        </w:rPr>
        <w:t xml:space="preserve">  And if that’s to</w:t>
      </w:r>
      <w:r w:rsidR="00BE64AD">
        <w:rPr>
          <w:rFonts w:ascii="Book Antiqua" w:hAnsi="Book Antiqua"/>
        </w:rPr>
        <w:t>o much</w:t>
      </w:r>
      <w:r w:rsidR="0087157E">
        <w:rPr>
          <w:rFonts w:ascii="Book Antiqua" w:hAnsi="Book Antiqua"/>
        </w:rPr>
        <w:t xml:space="preserve"> to ask, then, at least, “put away</w:t>
      </w:r>
      <w:r w:rsidR="00BE64AD">
        <w:rPr>
          <w:rFonts w:ascii="Book Antiqua" w:hAnsi="Book Antiqua"/>
        </w:rPr>
        <w:t xml:space="preserve"> your sword.”</w:t>
      </w:r>
      <w:r w:rsidR="00BE64AD">
        <w:rPr>
          <w:rStyle w:val="FootnoteReference"/>
          <w:rFonts w:ascii="Book Antiqua" w:hAnsi="Book Antiqua"/>
        </w:rPr>
        <w:footnoteReference w:id="260"/>
      </w:r>
    </w:p>
    <w:p w:rsidR="00C30066" w:rsidRDefault="0006673B" w:rsidP="004F645C">
      <w:pPr>
        <w:tabs>
          <w:tab w:val="left" w:pos="0"/>
        </w:tabs>
        <w:spacing w:after="120"/>
        <w:rPr>
          <w:rFonts w:ascii="Book Antiqua" w:hAnsi="Book Antiqua"/>
        </w:rPr>
      </w:pPr>
      <w:r>
        <w:rPr>
          <w:rFonts w:ascii="Book Antiqua" w:hAnsi="Book Antiqua"/>
        </w:rPr>
        <w:tab/>
      </w:r>
      <w:r w:rsidR="007A58B5">
        <w:rPr>
          <w:rFonts w:ascii="Book Antiqua" w:hAnsi="Book Antiqua"/>
        </w:rPr>
        <w:t>In choosing otherwise, of course, you have company.  When Fr. McNeill was forced from the Jesuits, the executioner’s task was delegated to Fr. Arrupe, as much as anything, I suspect, to pierce his own heart with a sword of seven sorrows.  Ah, the sweet culture of life</w:t>
      </w:r>
      <w:r w:rsidR="00C30066">
        <w:rPr>
          <w:rFonts w:ascii="Book Antiqua" w:hAnsi="Book Antiqua"/>
        </w:rPr>
        <w:t>!</w:t>
      </w:r>
      <w:r w:rsidR="007A58B5">
        <w:rPr>
          <w:rFonts w:ascii="Book Antiqua" w:hAnsi="Book Antiqua"/>
        </w:rPr>
        <w:t xml:space="preserve">  So, you clearly </w:t>
      </w:r>
      <w:r w:rsidR="007A58B5" w:rsidRPr="00F109C4">
        <w:rPr>
          <w:rFonts w:ascii="Book Antiqua" w:hAnsi="Book Antiqua"/>
          <w:i/>
        </w:rPr>
        <w:t>can</w:t>
      </w:r>
      <w:r w:rsidR="007A58B5">
        <w:rPr>
          <w:rFonts w:ascii="Book Antiqua" w:hAnsi="Book Antiqua"/>
        </w:rPr>
        <w:t xml:space="preserve"> proceed in this manner.  You have the </w:t>
      </w:r>
      <w:r w:rsidR="007A58B5" w:rsidRPr="00F109C4">
        <w:rPr>
          <w:rFonts w:ascii="Book Antiqua" w:hAnsi="Book Antiqua"/>
          <w:i/>
        </w:rPr>
        <w:t>power</w:t>
      </w:r>
      <w:r w:rsidR="007A58B5">
        <w:rPr>
          <w:rFonts w:ascii="Book Antiqua" w:hAnsi="Book Antiqua"/>
        </w:rPr>
        <w:t xml:space="preserve">.  But do not ponder long as to why </w:t>
      </w:r>
      <w:r w:rsidR="00C30066">
        <w:rPr>
          <w:rFonts w:ascii="Book Antiqua" w:hAnsi="Book Antiqua"/>
        </w:rPr>
        <w:t>so many</w:t>
      </w:r>
      <w:r w:rsidR="007A58B5">
        <w:rPr>
          <w:rFonts w:ascii="Book Antiqua" w:hAnsi="Book Antiqua"/>
        </w:rPr>
        <w:t xml:space="preserve"> are not spellbound at your teaching.</w:t>
      </w:r>
      <w:r w:rsidR="00C30066">
        <w:rPr>
          <w:rFonts w:ascii="Book Antiqua" w:hAnsi="Book Antiqua"/>
        </w:rPr>
        <w:t xml:space="preserve">  There are, of course, many who agree with you; primarily, I suspect, because you happen to agree with them.  Others maintain silence, because they fear you.  Ever so few, t</w:t>
      </w:r>
      <w:r w:rsidR="00A472D1">
        <w:rPr>
          <w:rFonts w:ascii="Book Antiqua" w:hAnsi="Book Antiqua"/>
        </w:rPr>
        <w:t>h</w:t>
      </w:r>
      <w:r w:rsidR="00C30066">
        <w:rPr>
          <w:rFonts w:ascii="Book Antiqua" w:hAnsi="Book Antiqua"/>
        </w:rPr>
        <w:t>ough, seem spellbound</w:t>
      </w:r>
      <w:r w:rsidR="00A36438">
        <w:rPr>
          <w:rFonts w:ascii="Book Antiqua" w:hAnsi="Book Antiqua"/>
        </w:rPr>
        <w:t xml:space="preserve"> by genuine authority.</w:t>
      </w:r>
    </w:p>
    <w:p w:rsidR="002437B5" w:rsidRDefault="002437B5" w:rsidP="004F645C">
      <w:pPr>
        <w:tabs>
          <w:tab w:val="left" w:pos="0"/>
        </w:tabs>
        <w:spacing w:after="120"/>
        <w:rPr>
          <w:rFonts w:ascii="Book Antiqua" w:hAnsi="Book Antiqua"/>
        </w:rPr>
      </w:pPr>
      <w:r>
        <w:rPr>
          <w:rFonts w:ascii="Book Antiqua" w:hAnsi="Book Antiqua"/>
        </w:rPr>
        <w:lastRenderedPageBreak/>
        <w:tab/>
        <w:t>Power comes with office.  Authority proceeds from authenticity.  I close with two reflections on what I judge to be the absence of authenticity</w:t>
      </w:r>
      <w:r w:rsidR="00C03484">
        <w:rPr>
          <w:rFonts w:ascii="Book Antiqua" w:hAnsi="Book Antiqua"/>
        </w:rPr>
        <w:t xml:space="preserve"> in this whole affair</w:t>
      </w:r>
      <w:r>
        <w:rPr>
          <w:rFonts w:ascii="Book Antiqua" w:hAnsi="Book Antiqua"/>
        </w:rPr>
        <w:t>.</w:t>
      </w:r>
    </w:p>
    <w:p w:rsidR="00A36438" w:rsidRDefault="00A36438" w:rsidP="004F645C">
      <w:pPr>
        <w:tabs>
          <w:tab w:val="left" w:pos="0"/>
        </w:tabs>
        <w:spacing w:after="120"/>
        <w:rPr>
          <w:rFonts w:ascii="Book Antiqua" w:hAnsi="Book Antiqua"/>
        </w:rPr>
      </w:pPr>
      <w:r>
        <w:rPr>
          <w:rFonts w:ascii="Book Antiqua" w:hAnsi="Book Antiqua"/>
        </w:rPr>
        <w:tab/>
        <w:t xml:space="preserve">When the American bishops gather in plenary session, there are dozens, if not scores of gay men in that room.  On occasion or two, </w:t>
      </w:r>
      <w:r w:rsidR="00817EC0">
        <w:rPr>
          <w:rFonts w:ascii="Book Antiqua" w:hAnsi="Book Antiqua"/>
        </w:rPr>
        <w:t>‘homosexuality’</w:t>
      </w:r>
      <w:r>
        <w:rPr>
          <w:rFonts w:ascii="Book Antiqua" w:hAnsi="Book Antiqua"/>
        </w:rPr>
        <w:t xml:space="preserve"> has been a matter of discussion.  Yet, never has it been possible, perhaps even imaginable, that a b</w:t>
      </w:r>
      <w:r w:rsidR="00861C6D">
        <w:rPr>
          <w:rFonts w:ascii="Book Antiqua" w:hAnsi="Book Antiqua"/>
        </w:rPr>
        <w:t>ishop would stand and say simply</w:t>
      </w:r>
      <w:r>
        <w:rPr>
          <w:rFonts w:ascii="Book Antiqua" w:hAnsi="Book Antiqua"/>
        </w:rPr>
        <w:t xml:space="preserve">, ‘Let me tell you how this sounds from the perspective of this gay man.’  Nor </w:t>
      </w:r>
      <w:r w:rsidR="00861C6D">
        <w:rPr>
          <w:rFonts w:ascii="Book Antiqua" w:hAnsi="Book Antiqua"/>
        </w:rPr>
        <w:t xml:space="preserve">has it been </w:t>
      </w:r>
      <w:r>
        <w:rPr>
          <w:rFonts w:ascii="Book Antiqua" w:hAnsi="Book Antiqua"/>
        </w:rPr>
        <w:t xml:space="preserve">either possible or imaginable </w:t>
      </w:r>
      <w:r w:rsidR="00861C6D">
        <w:rPr>
          <w:rFonts w:ascii="Book Antiqua" w:hAnsi="Book Antiqua"/>
        </w:rPr>
        <w:t>that another bishop would simply</w:t>
      </w:r>
      <w:r>
        <w:rPr>
          <w:rFonts w:ascii="Book Antiqua" w:hAnsi="Book Antiqua"/>
        </w:rPr>
        <w:t xml:space="preserve"> say, ‘I’d like to hear how this sounds from the perspective of some of our gay brothers.’</w:t>
      </w:r>
    </w:p>
    <w:p w:rsidR="00A36438" w:rsidRDefault="00A36438" w:rsidP="004F645C">
      <w:pPr>
        <w:tabs>
          <w:tab w:val="left" w:pos="0"/>
        </w:tabs>
        <w:spacing w:after="120"/>
        <w:rPr>
          <w:rFonts w:ascii="Book Antiqua" w:hAnsi="Book Antiqua"/>
        </w:rPr>
      </w:pPr>
      <w:r>
        <w:rPr>
          <w:rFonts w:ascii="Book Antiqua" w:hAnsi="Book Antiqua"/>
        </w:rPr>
        <w:tab/>
        <w:t>Just such conversations happen with searing ho</w:t>
      </w:r>
      <w:r w:rsidR="00861C6D">
        <w:rPr>
          <w:rFonts w:ascii="Book Antiqua" w:hAnsi="Book Antiqua"/>
        </w:rPr>
        <w:t xml:space="preserve">nesty, if not </w:t>
      </w:r>
      <w:r w:rsidR="00AD31BF">
        <w:rPr>
          <w:rFonts w:ascii="Book Antiqua" w:hAnsi="Book Antiqua"/>
        </w:rPr>
        <w:t xml:space="preserve">always </w:t>
      </w:r>
      <w:r w:rsidR="00861C6D">
        <w:rPr>
          <w:rFonts w:ascii="Book Antiqua" w:hAnsi="Book Antiqua"/>
        </w:rPr>
        <w:t xml:space="preserve">ease, elsewhere throughout </w:t>
      </w:r>
      <w:r>
        <w:rPr>
          <w:rFonts w:ascii="Book Antiqua" w:hAnsi="Book Antiqua"/>
        </w:rPr>
        <w:t xml:space="preserve"> our society – in boardrooms and breakrooms, in soup kitchens and five-star restaurants, in kitchens and bedrooms, in faculty lounges and on playgrounds</w:t>
      </w:r>
      <w:r w:rsidR="00861C6D">
        <w:rPr>
          <w:rFonts w:ascii="Book Antiqua" w:hAnsi="Book Antiqua"/>
        </w:rPr>
        <w:t>, on battlefields and in hospitals</w:t>
      </w:r>
      <w:r>
        <w:rPr>
          <w:rFonts w:ascii="Book Antiqua" w:hAnsi="Book Antiqua"/>
        </w:rPr>
        <w:t xml:space="preserve">.  Among the flock you would lead and the citizens to whom you would appeal, </w:t>
      </w:r>
      <w:r w:rsidR="00861C6D">
        <w:rPr>
          <w:rFonts w:ascii="Book Antiqua" w:hAnsi="Book Antiqua"/>
        </w:rPr>
        <w:t>virtually everyone who has reached the age of reason can have that conversation.  And yet you guys can’t.  When most people look for leadership, they turn to grown-ups.</w:t>
      </w:r>
    </w:p>
    <w:p w:rsidR="001F0ECE" w:rsidRDefault="001F0ECE" w:rsidP="004F645C">
      <w:pPr>
        <w:tabs>
          <w:tab w:val="left" w:pos="0"/>
        </w:tabs>
        <w:spacing w:after="120"/>
        <w:rPr>
          <w:rFonts w:ascii="Book Antiqua" w:hAnsi="Book Antiqua"/>
        </w:rPr>
      </w:pPr>
      <w:r>
        <w:rPr>
          <w:rFonts w:ascii="Book Antiqua" w:hAnsi="Book Antiqua"/>
        </w:rPr>
        <w:tab/>
        <w:t xml:space="preserve">It is no secret that there are many self-accepting gay priests in the Church; it is </w:t>
      </w:r>
      <w:r w:rsidR="008F5CCC">
        <w:rPr>
          <w:rFonts w:ascii="Book Antiqua" w:hAnsi="Book Antiqua"/>
        </w:rPr>
        <w:t xml:space="preserve">a </w:t>
      </w:r>
      <w:r>
        <w:rPr>
          <w:rFonts w:ascii="Book Antiqua" w:hAnsi="Book Antiqua"/>
        </w:rPr>
        <w:t>bit of an ugly little secret that there are also many self-hating repressed</w:t>
      </w:r>
      <w:r w:rsidR="00A472D1">
        <w:rPr>
          <w:rFonts w:ascii="Book Antiqua" w:hAnsi="Book Antiqua"/>
        </w:rPr>
        <w:t xml:space="preserve"> homosexual priests</w:t>
      </w:r>
      <w:r>
        <w:rPr>
          <w:rFonts w:ascii="Book Antiqua" w:hAnsi="Book Antiqua"/>
        </w:rPr>
        <w:t>.  Secret or not, both are facts, one of them far more frightening than the other.</w:t>
      </w:r>
      <w:r w:rsidR="00B43932">
        <w:rPr>
          <w:rFonts w:ascii="Book Antiqua" w:hAnsi="Book Antiqua"/>
        </w:rPr>
        <w:t xml:space="preserve">  Repressed inclinations have a tendency to explode.</w:t>
      </w:r>
      <w:r w:rsidR="005235A1">
        <w:rPr>
          <w:rFonts w:ascii="Book Antiqua" w:hAnsi="Book Antiqua"/>
        </w:rPr>
        <w:t xml:space="preserve">  And openness seems to me preferable to explosion.</w:t>
      </w:r>
    </w:p>
    <w:p w:rsidR="001F0ECE" w:rsidRDefault="001F0ECE" w:rsidP="004F645C">
      <w:pPr>
        <w:tabs>
          <w:tab w:val="left" w:pos="0"/>
        </w:tabs>
        <w:spacing w:after="120"/>
        <w:rPr>
          <w:rFonts w:ascii="Book Antiqua" w:hAnsi="Book Antiqua"/>
        </w:rPr>
      </w:pPr>
      <w:r>
        <w:rPr>
          <w:rFonts w:ascii="Book Antiqua" w:hAnsi="Book Antiqua"/>
        </w:rPr>
        <w:tab/>
      </w:r>
      <w:r w:rsidR="0075035E">
        <w:rPr>
          <w:rFonts w:ascii="Book Antiqua" w:hAnsi="Book Antiqua"/>
        </w:rPr>
        <w:t xml:space="preserve">For example, </w:t>
      </w:r>
      <w:r>
        <w:rPr>
          <w:rFonts w:ascii="Book Antiqua" w:hAnsi="Book Antiqua"/>
        </w:rPr>
        <w:t xml:space="preserve">I haven’t owned a television for many years, but I recall channel surfing back in the day, when I would find myself lingering at the liturgy on EWTN.  The same thought always occurred:  If these guys had auditioned for </w:t>
      </w:r>
      <w:r w:rsidRPr="00B43932">
        <w:rPr>
          <w:rFonts w:ascii="Book Antiqua" w:hAnsi="Book Antiqua"/>
          <w:i/>
        </w:rPr>
        <w:t>Queer Eye for the Straight Guy</w:t>
      </w:r>
      <w:r>
        <w:rPr>
          <w:rFonts w:ascii="Book Antiqua" w:hAnsi="Book Antiqua"/>
        </w:rPr>
        <w:t xml:space="preserve">, </w:t>
      </w:r>
      <w:r w:rsidR="00B43932">
        <w:rPr>
          <w:rFonts w:ascii="Book Antiqua" w:hAnsi="Book Antiqua"/>
        </w:rPr>
        <w:t xml:space="preserve">they’d have been told to tone it down.  </w:t>
      </w:r>
      <w:r w:rsidR="00AF50A7">
        <w:rPr>
          <w:rFonts w:ascii="Book Antiqua" w:hAnsi="Book Antiqua"/>
        </w:rPr>
        <w:t>Something of a gay aesthetic has long appeared in the Church</w:t>
      </w:r>
      <w:r w:rsidR="005235A1">
        <w:rPr>
          <w:rFonts w:ascii="Book Antiqua" w:hAnsi="Book Antiqua"/>
        </w:rPr>
        <w:t>, often</w:t>
      </w:r>
      <w:r w:rsidR="00AF50A7">
        <w:rPr>
          <w:rFonts w:ascii="Book Antiqua" w:hAnsi="Book Antiqua"/>
        </w:rPr>
        <w:t xml:space="preserve"> in the queerest places.  </w:t>
      </w:r>
      <w:r w:rsidR="00486CEC">
        <w:rPr>
          <w:rFonts w:ascii="Book Antiqua" w:hAnsi="Book Antiqua"/>
        </w:rPr>
        <w:t>Mark Jordan’s reflections on the official portrait of Francis Cardinal Spellman would be worth archepiscopal attention in this regard.</w:t>
      </w:r>
      <w:r w:rsidR="00486CEC">
        <w:rPr>
          <w:rStyle w:val="FootnoteReference"/>
          <w:rFonts w:ascii="Book Antiqua" w:hAnsi="Book Antiqua"/>
        </w:rPr>
        <w:footnoteReference w:id="261"/>
      </w:r>
      <w:r w:rsidR="00BF6F4A">
        <w:rPr>
          <w:rFonts w:ascii="Book Antiqua" w:hAnsi="Book Antiqua"/>
        </w:rPr>
        <w:t xml:space="preserve">  </w:t>
      </w:r>
      <w:r w:rsidR="000C661E">
        <w:rPr>
          <w:rFonts w:ascii="Book Antiqua" w:hAnsi="Book Antiqua"/>
        </w:rPr>
        <w:t>One might wonder</w:t>
      </w:r>
      <w:r w:rsidR="001B4CEF">
        <w:rPr>
          <w:rFonts w:ascii="Book Antiqua" w:hAnsi="Book Antiqua"/>
        </w:rPr>
        <w:t xml:space="preserve"> in this regard even about</w:t>
      </w:r>
      <w:r w:rsidR="00486723">
        <w:rPr>
          <w:rFonts w:ascii="Book Antiqua" w:hAnsi="Book Antiqua"/>
        </w:rPr>
        <w:t xml:space="preserve"> some of your most vehement </w:t>
      </w:r>
      <w:r w:rsidR="00C87386">
        <w:rPr>
          <w:rFonts w:ascii="Book Antiqua" w:hAnsi="Book Antiqua"/>
        </w:rPr>
        <w:t xml:space="preserve">and vocal </w:t>
      </w:r>
      <w:r w:rsidR="00486723">
        <w:rPr>
          <w:rFonts w:ascii="Book Antiqua" w:hAnsi="Book Antiqua"/>
        </w:rPr>
        <w:t>clerical supporters.</w:t>
      </w:r>
    </w:p>
    <w:p w:rsidR="00486723" w:rsidRDefault="00486723" w:rsidP="004F645C">
      <w:pPr>
        <w:tabs>
          <w:tab w:val="left" w:pos="0"/>
        </w:tabs>
        <w:spacing w:after="120"/>
        <w:rPr>
          <w:rFonts w:ascii="Book Antiqua" w:hAnsi="Book Antiqua"/>
        </w:rPr>
      </w:pPr>
      <w:r>
        <w:rPr>
          <w:rFonts w:ascii="Book Antiqua" w:hAnsi="Book Antiqua"/>
        </w:rPr>
        <w:tab/>
        <w:t xml:space="preserve">Yet such thoughts are taboo, or, as they would say in New Ulm, </w:t>
      </w:r>
      <w:r w:rsidRPr="00486723">
        <w:rPr>
          <w:rFonts w:ascii="Book Antiqua" w:hAnsi="Book Antiqua"/>
          <w:i/>
        </w:rPr>
        <w:t>verboten</w:t>
      </w:r>
      <w:r>
        <w:rPr>
          <w:rFonts w:ascii="Book Antiqua" w:hAnsi="Book Antiqua"/>
        </w:rPr>
        <w:t>.  And as long as the taboo remains in place, authenticity will remain elusive, and, with it, authority.</w:t>
      </w:r>
    </w:p>
    <w:p w:rsidR="00486723" w:rsidRPr="00486723" w:rsidRDefault="00486723" w:rsidP="00486723">
      <w:pPr>
        <w:tabs>
          <w:tab w:val="left" w:pos="8640"/>
        </w:tabs>
        <w:spacing w:after="120"/>
        <w:ind w:left="720" w:right="720"/>
        <w:rPr>
          <w:rFonts w:ascii="Book Antiqua" w:hAnsi="Book Antiqua"/>
          <w:sz w:val="20"/>
          <w:szCs w:val="20"/>
        </w:rPr>
      </w:pPr>
      <w:r w:rsidRPr="00486723">
        <w:rPr>
          <w:rFonts w:ascii="Book Antiqua" w:hAnsi="Book Antiqua"/>
          <w:sz w:val="20"/>
          <w:szCs w:val="20"/>
        </w:rPr>
        <w:t>Homosexuality has been silenced so successfully in the Catholic Church that we do not have the kinds of evidence required for a convincing answer.  A subject that Catholic theologians cannot discuss during centuries except with thunder, derision, or disgust is not a subject on which Catholic theology is ready to speak. . .  Catholic theologians will have to be able to speak freely about homosexuality for many years before they can write serious moral assessments of it.</w:t>
      </w:r>
      <w:r w:rsidRPr="00486723">
        <w:rPr>
          <w:rStyle w:val="FootnoteReference"/>
          <w:rFonts w:ascii="Book Antiqua" w:hAnsi="Book Antiqua"/>
          <w:sz w:val="20"/>
          <w:szCs w:val="20"/>
        </w:rPr>
        <w:footnoteReference w:id="262"/>
      </w:r>
      <w:r w:rsidRPr="00486723">
        <w:rPr>
          <w:rFonts w:ascii="Book Antiqua" w:hAnsi="Book Antiqua"/>
          <w:sz w:val="20"/>
          <w:szCs w:val="20"/>
        </w:rPr>
        <w:t xml:space="preserve"> </w:t>
      </w:r>
    </w:p>
    <w:p w:rsidR="00C03484" w:rsidRDefault="00D14816" w:rsidP="004F645C">
      <w:pPr>
        <w:tabs>
          <w:tab w:val="left" w:pos="0"/>
        </w:tabs>
        <w:spacing w:after="120"/>
        <w:rPr>
          <w:rFonts w:ascii="Book Antiqua" w:hAnsi="Book Antiqua"/>
        </w:rPr>
      </w:pPr>
      <w:r>
        <w:rPr>
          <w:rFonts w:ascii="Book Antiqua" w:hAnsi="Book Antiqua"/>
        </w:rPr>
        <w:t>Authenticity requires speech, not silence, and the flow of genuineness, not repression.</w:t>
      </w:r>
    </w:p>
    <w:p w:rsidR="001F4CF0" w:rsidRDefault="001F4CF0" w:rsidP="004F645C">
      <w:pPr>
        <w:tabs>
          <w:tab w:val="left" w:pos="0"/>
        </w:tabs>
        <w:spacing w:after="120"/>
        <w:rPr>
          <w:rFonts w:ascii="Book Antiqua" w:hAnsi="Book Antiqua"/>
        </w:rPr>
      </w:pPr>
      <w:r>
        <w:rPr>
          <w:rFonts w:ascii="Book Antiqua" w:hAnsi="Book Antiqua"/>
        </w:rPr>
        <w:lastRenderedPageBreak/>
        <w:tab/>
        <w:t>Clothed with such authenticity, you c</w:t>
      </w:r>
      <w:r w:rsidR="0002510E">
        <w:rPr>
          <w:rFonts w:ascii="Book Antiqua" w:hAnsi="Book Antiqua"/>
        </w:rPr>
        <w:t>ould</w:t>
      </w:r>
      <w:r>
        <w:rPr>
          <w:rFonts w:ascii="Book Antiqua" w:hAnsi="Book Antiqua"/>
        </w:rPr>
        <w:t xml:space="preserve"> stand in the public square and sp</w:t>
      </w:r>
      <w:r w:rsidR="00812D08">
        <w:rPr>
          <w:rFonts w:ascii="Book Antiqua" w:hAnsi="Book Antiqua"/>
        </w:rPr>
        <w:t>eak compellingly.  Bereft</w:t>
      </w:r>
      <w:r w:rsidR="00DB2326">
        <w:rPr>
          <w:rFonts w:ascii="Book Antiqua" w:hAnsi="Book Antiqua"/>
        </w:rPr>
        <w:t xml:space="preserve"> of it</w:t>
      </w:r>
      <w:r>
        <w:rPr>
          <w:rFonts w:ascii="Book Antiqua" w:hAnsi="Book Antiqua"/>
        </w:rPr>
        <w:t xml:space="preserve">, you are standing </w:t>
      </w:r>
      <w:r w:rsidR="00DB2326">
        <w:rPr>
          <w:rFonts w:ascii="Book Antiqua" w:hAnsi="Book Antiqua"/>
        </w:rPr>
        <w:t>there</w:t>
      </w:r>
      <w:r w:rsidR="00812D08">
        <w:rPr>
          <w:rFonts w:ascii="Book Antiqua" w:hAnsi="Book Antiqua"/>
        </w:rPr>
        <w:t>, not exactly naked, but clad</w:t>
      </w:r>
      <w:r>
        <w:rPr>
          <w:rFonts w:ascii="Book Antiqua" w:hAnsi="Book Antiqua"/>
        </w:rPr>
        <w:t xml:space="preserve"> only in your pallium, and, in case you’re wondering, it</w:t>
      </w:r>
      <w:r w:rsidR="00E70D7B">
        <w:rPr>
          <w:rFonts w:ascii="Book Antiqua" w:hAnsi="Book Antiqua"/>
        </w:rPr>
        <w:t>’s not</w:t>
      </w:r>
      <w:r>
        <w:rPr>
          <w:rFonts w:ascii="Book Antiqua" w:hAnsi="Book Antiqua"/>
        </w:rPr>
        <w:t xml:space="preserve"> a pretty sight.</w:t>
      </w:r>
      <w:r w:rsidR="005235A1">
        <w:rPr>
          <w:rFonts w:ascii="Book Antiqua" w:hAnsi="Book Antiqua"/>
        </w:rPr>
        <w:tab/>
      </w:r>
    </w:p>
    <w:p w:rsidR="005235A1" w:rsidRDefault="001F4CF0" w:rsidP="004F645C">
      <w:pPr>
        <w:tabs>
          <w:tab w:val="left" w:pos="0"/>
        </w:tabs>
        <w:spacing w:after="120"/>
        <w:rPr>
          <w:rFonts w:ascii="Book Antiqua" w:hAnsi="Book Antiqua"/>
        </w:rPr>
      </w:pPr>
      <w:r>
        <w:rPr>
          <w:rFonts w:ascii="Book Antiqua" w:hAnsi="Book Antiqua"/>
        </w:rPr>
        <w:tab/>
      </w:r>
      <w:r w:rsidR="005235A1">
        <w:rPr>
          <w:rFonts w:ascii="Book Antiqua" w:hAnsi="Book Antiqua"/>
        </w:rPr>
        <w:t>Secondly, there is the reality of questions.  Without them, we understand nothing.  With them, we may understand something, or at least understand that we don’t understand.  Jesus asks well over a hundred questions in the Gospel texts,</w:t>
      </w:r>
      <w:r w:rsidR="005235A1">
        <w:rPr>
          <w:rStyle w:val="FootnoteReference"/>
          <w:rFonts w:ascii="Book Antiqua" w:hAnsi="Book Antiqua"/>
        </w:rPr>
        <w:footnoteReference w:id="263"/>
      </w:r>
      <w:r w:rsidR="0070591F">
        <w:rPr>
          <w:rFonts w:ascii="Book Antiqua" w:hAnsi="Book Antiqua"/>
        </w:rPr>
        <w:t xml:space="preserve"> not simply wanting to impa</w:t>
      </w:r>
      <w:r w:rsidR="005235A1">
        <w:rPr>
          <w:rFonts w:ascii="Book Antiqua" w:hAnsi="Book Antiqua"/>
        </w:rPr>
        <w:t xml:space="preserve">rt conceptual </w:t>
      </w:r>
      <w:r w:rsidR="00901EAC">
        <w:rPr>
          <w:rFonts w:ascii="Book Antiqua" w:hAnsi="Book Antiqua"/>
        </w:rPr>
        <w:t>certainty</w:t>
      </w:r>
      <w:r w:rsidR="005235A1">
        <w:rPr>
          <w:rFonts w:ascii="Book Antiqua" w:hAnsi="Book Antiqua"/>
        </w:rPr>
        <w:t xml:space="preserve">, but </w:t>
      </w:r>
      <w:r w:rsidR="007C792B">
        <w:rPr>
          <w:rFonts w:ascii="Book Antiqua" w:hAnsi="Book Antiqua"/>
        </w:rPr>
        <w:t>rather to lead us to understanding.  Such is an aspect of ‘teaching with authority.’</w:t>
      </w:r>
    </w:p>
    <w:p w:rsidR="007C792B" w:rsidRDefault="007C792B" w:rsidP="004F645C">
      <w:pPr>
        <w:tabs>
          <w:tab w:val="left" w:pos="0"/>
        </w:tabs>
        <w:spacing w:after="120"/>
        <w:rPr>
          <w:rFonts w:ascii="Book Antiqua" w:hAnsi="Book Antiqua"/>
        </w:rPr>
      </w:pPr>
      <w:r>
        <w:rPr>
          <w:rFonts w:ascii="Book Antiqua" w:hAnsi="Book Antiqua"/>
        </w:rPr>
        <w:tab/>
        <w:t xml:space="preserve">Yet today Church ‘authorities’ tend not only not to ask questions, but to forbid them, rendering themselves highly unauthoritative ‘authorities.’  Very reasonable doubt being suppressed by saying, ‘There can be no doubt. . .’  </w:t>
      </w:r>
      <w:r w:rsidR="001B4CEF">
        <w:rPr>
          <w:rFonts w:ascii="Book Antiqua" w:hAnsi="Book Antiqua"/>
        </w:rPr>
        <w:t>And this tends to pertain not simply to the assertion of doctrine, but rather to become a habit of mind.  I think here, with great sadness, of Pope John Paul’s certainty as to the innocence of Fr. Maciel.</w:t>
      </w:r>
      <w:r w:rsidR="001B4CEF">
        <w:rPr>
          <w:rStyle w:val="FootnoteReference"/>
          <w:rFonts w:ascii="Book Antiqua" w:hAnsi="Book Antiqua"/>
        </w:rPr>
        <w:footnoteReference w:id="264"/>
      </w:r>
      <w:r w:rsidR="001B4CEF">
        <w:rPr>
          <w:rFonts w:ascii="Book Antiqua" w:hAnsi="Book Antiqua"/>
        </w:rPr>
        <w:t xml:space="preserve">  He was certain, but wrong.</w:t>
      </w:r>
    </w:p>
    <w:p w:rsidR="002049AE" w:rsidRDefault="001B4CEF" w:rsidP="004F645C">
      <w:pPr>
        <w:tabs>
          <w:tab w:val="left" w:pos="0"/>
        </w:tabs>
        <w:spacing w:after="120"/>
        <w:rPr>
          <w:rFonts w:ascii="Book Antiqua" w:hAnsi="Book Antiqua"/>
        </w:rPr>
      </w:pPr>
      <w:r>
        <w:rPr>
          <w:rFonts w:ascii="Book Antiqua" w:hAnsi="Book Antiqua"/>
        </w:rPr>
        <w:tab/>
        <w:t>One with far greater knowledge and competence tha</w:t>
      </w:r>
      <w:r w:rsidR="002049AE">
        <w:rPr>
          <w:rFonts w:ascii="Book Antiqua" w:hAnsi="Book Antiqua"/>
        </w:rPr>
        <w:t>n</w:t>
      </w:r>
      <w:r>
        <w:rPr>
          <w:rFonts w:ascii="Book Antiqua" w:hAnsi="Book Antiqua"/>
        </w:rPr>
        <w:t xml:space="preserve"> I could write a quite extensive monograph on the theme of ‘certain, but wrong’ in ecclesiastical history.</w:t>
      </w:r>
      <w:r w:rsidR="002049AE">
        <w:rPr>
          <w:rFonts w:ascii="Book Antiqua" w:hAnsi="Book Antiqua"/>
        </w:rPr>
        <w:t xml:space="preserve">  And this is striking, indeed quite frightening.  It should, after all, simply not be possible to be certain, </w:t>
      </w:r>
      <w:r w:rsidR="00F36006">
        <w:rPr>
          <w:rFonts w:ascii="Book Antiqua" w:hAnsi="Book Antiqua"/>
        </w:rPr>
        <w:t xml:space="preserve">and yet wrong.  It is, of course, </w:t>
      </w:r>
      <w:r w:rsidR="002049AE">
        <w:rPr>
          <w:rFonts w:ascii="Book Antiqua" w:hAnsi="Book Antiqua"/>
        </w:rPr>
        <w:t xml:space="preserve">possible to think </w:t>
      </w:r>
      <w:r w:rsidR="002049AE" w:rsidRPr="002049AE">
        <w:rPr>
          <w:rFonts w:ascii="Book Antiqua" w:hAnsi="Book Antiqua"/>
          <w:i/>
        </w:rPr>
        <w:t>x</w:t>
      </w:r>
      <w:r w:rsidR="002049AE">
        <w:rPr>
          <w:rFonts w:ascii="Book Antiqua" w:hAnsi="Book Antiqua"/>
        </w:rPr>
        <w:t xml:space="preserve">, </w:t>
      </w:r>
      <w:r w:rsidR="002049AE" w:rsidRPr="002049AE">
        <w:rPr>
          <w:rFonts w:ascii="Book Antiqua" w:hAnsi="Book Antiqua"/>
          <w:i/>
        </w:rPr>
        <w:t>y</w:t>
      </w:r>
      <w:r w:rsidR="002049AE">
        <w:rPr>
          <w:rFonts w:ascii="Book Antiqua" w:hAnsi="Book Antiqua"/>
        </w:rPr>
        <w:t xml:space="preserve">, or </w:t>
      </w:r>
      <w:r w:rsidR="002049AE" w:rsidRPr="002049AE">
        <w:rPr>
          <w:rFonts w:ascii="Book Antiqua" w:hAnsi="Book Antiqua"/>
          <w:i/>
        </w:rPr>
        <w:t>z</w:t>
      </w:r>
      <w:r w:rsidR="002049AE">
        <w:rPr>
          <w:rFonts w:ascii="Book Antiqua" w:hAnsi="Book Antiqua"/>
        </w:rPr>
        <w:t xml:space="preserve">, and to be wrong in that thinking.  It’s one of the few things in life at which I might qualify as a ‘pro.’  But there is a radical difference between (a) thinking something, and (b) being certain of it.  </w:t>
      </w:r>
    </w:p>
    <w:p w:rsidR="001B4CEF" w:rsidRDefault="002049AE" w:rsidP="004F645C">
      <w:pPr>
        <w:tabs>
          <w:tab w:val="left" w:pos="0"/>
        </w:tabs>
        <w:spacing w:after="120"/>
        <w:rPr>
          <w:rFonts w:ascii="Book Antiqua" w:hAnsi="Book Antiqua"/>
        </w:rPr>
      </w:pPr>
      <w:r>
        <w:rPr>
          <w:rFonts w:ascii="Book Antiqua" w:hAnsi="Book Antiqua"/>
        </w:rPr>
        <w:tab/>
        <w:t xml:space="preserve">‘Thinking’ something, yet being wrong simply indicates a need for correction.  Being ‘certain’ of that something, yet wrong, is indicative of a need for conversion.  What is wrong is not simply one’s thought, but his or her very thinking.  And what is wrong will most often be </w:t>
      </w:r>
      <w:r w:rsidR="00084AC2">
        <w:rPr>
          <w:rFonts w:ascii="Book Antiqua" w:hAnsi="Book Antiqua"/>
        </w:rPr>
        <w:t xml:space="preserve">found in </w:t>
      </w:r>
      <w:r>
        <w:rPr>
          <w:rFonts w:ascii="Book Antiqua" w:hAnsi="Book Antiqua"/>
        </w:rPr>
        <w:t>the repression or suppression of images and questions.</w:t>
      </w:r>
    </w:p>
    <w:p w:rsidR="00836C7B" w:rsidRDefault="00836C7B" w:rsidP="004F645C">
      <w:pPr>
        <w:tabs>
          <w:tab w:val="left" w:pos="0"/>
        </w:tabs>
        <w:spacing w:after="120"/>
        <w:rPr>
          <w:rFonts w:ascii="Book Antiqua" w:hAnsi="Book Antiqua"/>
        </w:rPr>
      </w:pPr>
      <w:r>
        <w:rPr>
          <w:rFonts w:ascii="Book Antiqua" w:hAnsi="Book Antiqua"/>
        </w:rPr>
        <w:tab/>
        <w:t xml:space="preserve">This is precisely what struck me long ago in reading </w:t>
      </w:r>
      <w:r w:rsidRPr="00836C7B">
        <w:rPr>
          <w:rFonts w:ascii="Book Antiqua" w:hAnsi="Book Antiqua"/>
          <w:i/>
        </w:rPr>
        <w:t>The Acting Person</w:t>
      </w:r>
      <w:r>
        <w:rPr>
          <w:rFonts w:ascii="Book Antiqua" w:hAnsi="Book Antiqua"/>
        </w:rPr>
        <w:t>, a copy of which I am not able to locate in order to verify my recollection.  I recall the consideration of community, in which the future pontiff identified three essential elements:  (i) Authority, (ii) Opposition,</w:t>
      </w:r>
      <w:r>
        <w:rPr>
          <w:rStyle w:val="FootnoteReference"/>
          <w:rFonts w:ascii="Book Antiqua" w:hAnsi="Book Antiqua"/>
        </w:rPr>
        <w:footnoteReference w:id="265"/>
      </w:r>
      <w:r>
        <w:rPr>
          <w:rFonts w:ascii="Book Antiqua" w:hAnsi="Book Antiqua"/>
        </w:rPr>
        <w:t xml:space="preserve"> and (iii) Dialogue.  An</w:t>
      </w:r>
      <w:r w:rsidR="002269B5">
        <w:rPr>
          <w:rFonts w:ascii="Book Antiqua" w:hAnsi="Book Antiqua"/>
        </w:rPr>
        <w:t>y</w:t>
      </w:r>
      <w:r>
        <w:rPr>
          <w:rFonts w:ascii="Book Antiqua" w:hAnsi="Book Antiqua"/>
        </w:rPr>
        <w:t xml:space="preserve"> society will have a center of power, but that power can be more or less legitimate, indeed it </w:t>
      </w:r>
      <w:r w:rsidR="007D0E59">
        <w:rPr>
          <w:rFonts w:ascii="Book Antiqua" w:hAnsi="Book Antiqua"/>
        </w:rPr>
        <w:t xml:space="preserve">can </w:t>
      </w:r>
      <w:r>
        <w:rPr>
          <w:rFonts w:ascii="Book Antiqua" w:hAnsi="Book Antiqua"/>
        </w:rPr>
        <w:t xml:space="preserve">be utterly illegitimate.  Legitimacy, in </w:t>
      </w:r>
      <w:r w:rsidR="00F36006">
        <w:rPr>
          <w:rFonts w:ascii="Book Antiqua" w:hAnsi="Book Antiqua"/>
        </w:rPr>
        <w:t xml:space="preserve">large </w:t>
      </w:r>
      <w:r>
        <w:rPr>
          <w:rFonts w:ascii="Book Antiqua" w:hAnsi="Book Antiqua"/>
        </w:rPr>
        <w:t xml:space="preserve">part, is constituted by allowance of opposition.  Those in power have a self-interested tendency to disallow questions that are vital to the well-being of the society.  And since those questions will never occur to those in power, it is essential for the good of social order that they be allowed </w:t>
      </w:r>
      <w:r w:rsidR="005C0E7A">
        <w:rPr>
          <w:rFonts w:ascii="Book Antiqua" w:hAnsi="Book Antiqua"/>
        </w:rPr>
        <w:t>to emerge in others-in-opposition</w:t>
      </w:r>
      <w:r>
        <w:rPr>
          <w:rFonts w:ascii="Book Antiqua" w:hAnsi="Book Antiqua"/>
        </w:rPr>
        <w:t xml:space="preserve">.  But such emergence </w:t>
      </w:r>
      <w:r w:rsidR="002269B5">
        <w:rPr>
          <w:rFonts w:ascii="Book Antiqua" w:hAnsi="Book Antiqua"/>
        </w:rPr>
        <w:t>will be fruitful only if there is genuine dialogue between the center and the periphery.</w:t>
      </w:r>
      <w:r w:rsidR="005C0E7A">
        <w:rPr>
          <w:rFonts w:ascii="Book Antiqua" w:hAnsi="Book Antiqua"/>
        </w:rPr>
        <w:t xml:space="preserve">  It is not a uniquely Polish truth.</w:t>
      </w:r>
    </w:p>
    <w:p w:rsidR="002269B5" w:rsidRDefault="002269B5" w:rsidP="004F645C">
      <w:pPr>
        <w:tabs>
          <w:tab w:val="left" w:pos="0"/>
        </w:tabs>
        <w:spacing w:after="120"/>
        <w:rPr>
          <w:rFonts w:ascii="Book Antiqua" w:hAnsi="Book Antiqua"/>
        </w:rPr>
      </w:pPr>
      <w:r>
        <w:rPr>
          <w:rFonts w:ascii="Book Antiqua" w:hAnsi="Book Antiqua"/>
        </w:rPr>
        <w:lastRenderedPageBreak/>
        <w:tab/>
        <w:t xml:space="preserve">There are questions that simply do not occur to you, Archbishop, and that non-occurrence need not be deleterious to the well-being of our </w:t>
      </w:r>
      <w:r w:rsidR="00622E62">
        <w:rPr>
          <w:rFonts w:ascii="Book Antiqua" w:hAnsi="Book Antiqua"/>
        </w:rPr>
        <w:t xml:space="preserve">Catholic </w:t>
      </w:r>
      <w:r>
        <w:rPr>
          <w:rFonts w:ascii="Book Antiqua" w:hAnsi="Book Antiqua"/>
        </w:rPr>
        <w:t xml:space="preserve">community, but only </w:t>
      </w:r>
      <w:r w:rsidRPr="002269B5">
        <w:rPr>
          <w:rFonts w:ascii="Book Antiqua" w:hAnsi="Book Antiqua"/>
          <w:i/>
        </w:rPr>
        <w:t>if</w:t>
      </w:r>
      <w:r>
        <w:rPr>
          <w:rFonts w:ascii="Book Antiqua" w:hAnsi="Book Antiqua"/>
        </w:rPr>
        <w:t xml:space="preserve"> there is allowed an opposition </w:t>
      </w:r>
      <w:r w:rsidRPr="002269B5">
        <w:rPr>
          <w:rFonts w:ascii="Book Antiqua" w:hAnsi="Book Antiqua"/>
          <w:i/>
        </w:rPr>
        <w:t>within</w:t>
      </w:r>
      <w:r>
        <w:rPr>
          <w:rFonts w:ascii="Book Antiqua" w:hAnsi="Book Antiqua"/>
        </w:rPr>
        <w:t xml:space="preserve"> that community to whom those questions </w:t>
      </w:r>
      <w:r w:rsidRPr="006C4F5C">
        <w:rPr>
          <w:rFonts w:ascii="Book Antiqua" w:hAnsi="Book Antiqua"/>
          <w:i/>
        </w:rPr>
        <w:t>do</w:t>
      </w:r>
      <w:r>
        <w:rPr>
          <w:rFonts w:ascii="Book Antiqua" w:hAnsi="Book Antiqua"/>
        </w:rPr>
        <w:t xml:space="preserve"> occur.  Also, only </w:t>
      </w:r>
      <w:r w:rsidRPr="002269B5">
        <w:rPr>
          <w:rFonts w:ascii="Book Antiqua" w:hAnsi="Book Antiqua"/>
          <w:i/>
        </w:rPr>
        <w:t>if</w:t>
      </w:r>
      <w:r>
        <w:rPr>
          <w:rFonts w:ascii="Book Antiqua" w:hAnsi="Book Antiqua"/>
        </w:rPr>
        <w:t xml:space="preserve"> those questions are al</w:t>
      </w:r>
      <w:r w:rsidR="006C4F5C">
        <w:rPr>
          <w:rFonts w:ascii="Book Antiqua" w:hAnsi="Book Antiqua"/>
        </w:rPr>
        <w:t xml:space="preserve">lowed to be dialogically </w:t>
      </w:r>
      <w:r w:rsidR="006C4F5C" w:rsidRPr="00CC14F7">
        <w:rPr>
          <w:rFonts w:ascii="Book Antiqua" w:hAnsi="Book Antiqua"/>
          <w:i/>
        </w:rPr>
        <w:t>spoken</w:t>
      </w:r>
      <w:r w:rsidR="006C4F5C">
        <w:rPr>
          <w:rFonts w:ascii="Book Antiqua" w:hAnsi="Book Antiqua"/>
        </w:rPr>
        <w:t>, and seriously considered.</w:t>
      </w:r>
    </w:p>
    <w:p w:rsidR="00B1692D" w:rsidRPr="0015552E" w:rsidRDefault="006C4F5C" w:rsidP="002269B5">
      <w:pPr>
        <w:tabs>
          <w:tab w:val="left" w:pos="0"/>
        </w:tabs>
        <w:spacing w:after="120"/>
        <w:rPr>
          <w:rFonts w:ascii="Book Antiqua" w:hAnsi="Book Antiqua"/>
        </w:rPr>
      </w:pPr>
      <w:r>
        <w:rPr>
          <w:rFonts w:ascii="Book Antiqua" w:hAnsi="Book Antiqua"/>
        </w:rPr>
        <w:tab/>
        <w:t>But c</w:t>
      </w:r>
      <w:r w:rsidR="002269B5">
        <w:rPr>
          <w:rFonts w:ascii="Book Antiqua" w:hAnsi="Book Antiqua"/>
        </w:rPr>
        <w:t>ommands of silence, enforced with threats, betoken Power, not Authority.</w:t>
      </w:r>
      <w:r>
        <w:rPr>
          <w:rFonts w:ascii="Book Antiqua" w:hAnsi="Book Antiqua"/>
        </w:rPr>
        <w:t xml:space="preserve">  And it is community that suffers.</w:t>
      </w:r>
    </w:p>
    <w:p w:rsidR="001E772C" w:rsidRPr="0015552E" w:rsidRDefault="002269B5" w:rsidP="002269B5">
      <w:pPr>
        <w:tabs>
          <w:tab w:val="left" w:pos="0"/>
        </w:tabs>
        <w:spacing w:after="120"/>
        <w:rPr>
          <w:rFonts w:ascii="Book Antiqua" w:hAnsi="Book Antiqua"/>
        </w:rPr>
      </w:pPr>
      <w:r>
        <w:rPr>
          <w:rFonts w:ascii="Book Antiqua" w:hAnsi="Book Antiqua"/>
        </w:rPr>
        <w:tab/>
        <w:t xml:space="preserve">Whatever anger you </w:t>
      </w:r>
      <w:r w:rsidR="00D35B68">
        <w:rPr>
          <w:rFonts w:ascii="Book Antiqua" w:hAnsi="Book Antiqua"/>
        </w:rPr>
        <w:t xml:space="preserve">may </w:t>
      </w:r>
      <w:r>
        <w:rPr>
          <w:rFonts w:ascii="Book Antiqua" w:hAnsi="Book Antiqua"/>
        </w:rPr>
        <w:t xml:space="preserve">have detected in the foregoing emerges from a conviction that the Church deserves better.  Still, </w:t>
      </w:r>
      <w:r w:rsidR="001E772C" w:rsidRPr="0015552E">
        <w:rPr>
          <w:rFonts w:ascii="Book Antiqua" w:hAnsi="Book Antiqua"/>
        </w:rPr>
        <w:t xml:space="preserve">please forgive any lapses of charity.  I fear there are such.  My nightly examen takes the form of attempting to discern the presence/absence of the theological virtues in the concrete exchanges of the day.  I often shudder at my failures – frequent, occasionally intense.  But I have discovered a pattern to the intensity.  I respond most passionately when confronted with </w:t>
      </w:r>
      <w:r w:rsidR="00272B85" w:rsidRPr="0015552E">
        <w:rPr>
          <w:rFonts w:ascii="Book Antiqua" w:hAnsi="Book Antiqua"/>
        </w:rPr>
        <w:t xml:space="preserve">what I perceive to be </w:t>
      </w:r>
      <w:r w:rsidR="001E772C" w:rsidRPr="0015552E">
        <w:rPr>
          <w:rFonts w:ascii="Book Antiqua" w:hAnsi="Book Antiqua"/>
        </w:rPr>
        <w:t xml:space="preserve">an absence-of-faith masquerading </w:t>
      </w:r>
      <w:r w:rsidR="001E772C" w:rsidRPr="0015552E">
        <w:rPr>
          <w:rFonts w:ascii="Book Antiqua" w:hAnsi="Book Antiqua"/>
          <w:i/>
        </w:rPr>
        <w:t xml:space="preserve">as </w:t>
      </w:r>
      <w:r w:rsidR="001E772C" w:rsidRPr="0015552E">
        <w:rPr>
          <w:rFonts w:ascii="Book Antiqua" w:hAnsi="Book Antiqua"/>
        </w:rPr>
        <w:t xml:space="preserve">faith, an absence-of-hope masquerading </w:t>
      </w:r>
      <w:r w:rsidR="001E772C" w:rsidRPr="0015552E">
        <w:rPr>
          <w:rFonts w:ascii="Book Antiqua" w:hAnsi="Book Antiqua"/>
          <w:i/>
        </w:rPr>
        <w:t xml:space="preserve">as </w:t>
      </w:r>
      <w:r w:rsidR="001E772C" w:rsidRPr="0015552E">
        <w:rPr>
          <w:rFonts w:ascii="Book Antiqua" w:hAnsi="Book Antiqua"/>
        </w:rPr>
        <w:t xml:space="preserve">hope, and an absence-of-charity masquerading </w:t>
      </w:r>
      <w:r w:rsidR="001E772C" w:rsidRPr="0015552E">
        <w:rPr>
          <w:rFonts w:ascii="Book Antiqua" w:hAnsi="Book Antiqua"/>
          <w:i/>
        </w:rPr>
        <w:t xml:space="preserve">as </w:t>
      </w:r>
      <w:r w:rsidR="001E772C" w:rsidRPr="0015552E">
        <w:rPr>
          <w:rFonts w:ascii="Book Antiqua" w:hAnsi="Book Antiqua"/>
        </w:rPr>
        <w:t>charity.</w:t>
      </w:r>
    </w:p>
    <w:p w:rsidR="001E772C" w:rsidRPr="0015552E" w:rsidRDefault="002269B5" w:rsidP="002269B5">
      <w:pPr>
        <w:tabs>
          <w:tab w:val="left" w:pos="0"/>
        </w:tabs>
        <w:spacing w:after="120"/>
        <w:rPr>
          <w:rFonts w:ascii="Book Antiqua" w:hAnsi="Book Antiqua"/>
        </w:rPr>
      </w:pPr>
      <w:r>
        <w:rPr>
          <w:rFonts w:ascii="Book Antiqua" w:hAnsi="Book Antiqua"/>
        </w:rPr>
        <w:tab/>
      </w:r>
      <w:r w:rsidR="001E772C" w:rsidRPr="0015552E">
        <w:rPr>
          <w:rFonts w:ascii="Book Antiqua" w:hAnsi="Book Antiqua"/>
        </w:rPr>
        <w:t>I write simply in the hope that you might occasionally shudder, too.</w:t>
      </w:r>
    </w:p>
    <w:p w:rsidR="001E772C" w:rsidRPr="0015552E" w:rsidRDefault="009A5723" w:rsidP="00004C0B">
      <w:pPr>
        <w:tabs>
          <w:tab w:val="left" w:pos="4320"/>
        </w:tabs>
        <w:spacing w:after="120"/>
        <w:rPr>
          <w:rFonts w:ascii="Book Antiqua" w:hAnsi="Book Antiqua"/>
        </w:rPr>
      </w:pPr>
      <w:r>
        <w:rPr>
          <w:rFonts w:ascii="Book Antiqua" w:hAnsi="Book Antiqua"/>
        </w:rPr>
        <w:tab/>
      </w:r>
      <w:r w:rsidR="001E772C" w:rsidRPr="0015552E">
        <w:rPr>
          <w:rFonts w:ascii="Book Antiqua" w:hAnsi="Book Antiqua"/>
        </w:rPr>
        <w:t>In caritate Christi,</w:t>
      </w:r>
    </w:p>
    <w:p w:rsidR="001E772C" w:rsidRPr="00805036" w:rsidRDefault="001E772C" w:rsidP="00004C0B">
      <w:pPr>
        <w:tabs>
          <w:tab w:val="left" w:pos="8640"/>
        </w:tabs>
        <w:spacing w:after="120"/>
        <w:rPr>
          <w:rFonts w:ascii="Book Antiqua" w:hAnsi="Book Antiqua"/>
          <w:sz w:val="32"/>
          <w:szCs w:val="32"/>
        </w:rPr>
      </w:pPr>
    </w:p>
    <w:p w:rsidR="001E772C" w:rsidRPr="0015552E" w:rsidRDefault="009A5723" w:rsidP="00004C0B">
      <w:pPr>
        <w:tabs>
          <w:tab w:val="left" w:pos="4320"/>
        </w:tabs>
        <w:spacing w:after="120"/>
        <w:rPr>
          <w:rFonts w:ascii="Book Antiqua" w:hAnsi="Book Antiqua"/>
        </w:rPr>
      </w:pPr>
      <w:r>
        <w:rPr>
          <w:rFonts w:ascii="Book Antiqua" w:hAnsi="Book Antiqua"/>
        </w:rPr>
        <w:tab/>
      </w:r>
      <w:r w:rsidR="001E772C" w:rsidRPr="0015552E">
        <w:rPr>
          <w:rFonts w:ascii="Book Antiqua" w:hAnsi="Book Antiqua"/>
        </w:rPr>
        <w:t>Jim Englert</w:t>
      </w:r>
    </w:p>
    <w:p w:rsidR="001E772C" w:rsidRPr="0015552E" w:rsidRDefault="001E772C" w:rsidP="00004C0B">
      <w:pPr>
        <w:tabs>
          <w:tab w:val="left" w:pos="8640"/>
        </w:tabs>
        <w:spacing w:after="120"/>
        <w:rPr>
          <w:rFonts w:ascii="Book Antiqua" w:hAnsi="Book Antiqua"/>
        </w:rPr>
      </w:pPr>
    </w:p>
    <w:p w:rsidR="00B1692D" w:rsidRDefault="002269B5" w:rsidP="00004C0B">
      <w:pPr>
        <w:tabs>
          <w:tab w:val="left" w:pos="8640"/>
        </w:tabs>
        <w:spacing w:after="120"/>
        <w:rPr>
          <w:rFonts w:ascii="Book Antiqua" w:hAnsi="Book Antiqua"/>
        </w:rPr>
      </w:pPr>
      <w:r>
        <w:rPr>
          <w:rFonts w:ascii="Book Antiqua" w:hAnsi="Book Antiqua"/>
        </w:rPr>
        <w:t xml:space="preserve">Copy to </w:t>
      </w:r>
      <w:r w:rsidR="001D17E9">
        <w:rPr>
          <w:rFonts w:ascii="Book Antiqua" w:hAnsi="Book Antiqua"/>
        </w:rPr>
        <w:t>Archbishop Carlo Maria Viganò</w:t>
      </w:r>
      <w:r w:rsidR="00E958ED">
        <w:rPr>
          <w:rFonts w:ascii="Book Antiqua" w:hAnsi="Book Antiqua"/>
        </w:rPr>
        <w:t>.</w:t>
      </w:r>
    </w:p>
    <w:p w:rsidR="001E772C" w:rsidRPr="0015552E" w:rsidRDefault="001E772C" w:rsidP="00004C0B">
      <w:pPr>
        <w:tabs>
          <w:tab w:val="left" w:pos="8640"/>
        </w:tabs>
        <w:spacing w:after="120"/>
        <w:rPr>
          <w:rFonts w:ascii="Book Antiqua" w:hAnsi="Book Antiqua"/>
        </w:rPr>
      </w:pPr>
      <w:r w:rsidRPr="0015552E">
        <w:rPr>
          <w:rFonts w:ascii="Book Antiqua" w:hAnsi="Book Antiqua"/>
        </w:rPr>
        <w:t>Copies to the suffragan bishops of Minnesota.</w:t>
      </w:r>
    </w:p>
    <w:p w:rsidR="001E772C" w:rsidRDefault="001E772C" w:rsidP="00004C0B">
      <w:pPr>
        <w:tabs>
          <w:tab w:val="left" w:pos="8640"/>
        </w:tabs>
        <w:spacing w:after="120"/>
        <w:rPr>
          <w:rFonts w:ascii="Book Antiqua" w:hAnsi="Book Antiqua"/>
        </w:rPr>
      </w:pPr>
      <w:r w:rsidRPr="0015552E">
        <w:rPr>
          <w:rFonts w:ascii="Book Antiqua" w:hAnsi="Book Antiqua"/>
        </w:rPr>
        <w:t>Copies to priests of the Mankato area.</w:t>
      </w:r>
    </w:p>
    <w:p w:rsidR="009D13D6" w:rsidRPr="009D13D6" w:rsidRDefault="009D13D6" w:rsidP="007051AE">
      <w:pPr>
        <w:tabs>
          <w:tab w:val="left" w:pos="0"/>
        </w:tabs>
        <w:spacing w:after="120"/>
        <w:rPr>
          <w:rFonts w:ascii="Book Antiqua" w:hAnsi="Book Antiqua"/>
        </w:rPr>
      </w:pPr>
    </w:p>
    <w:sectPr w:rsidR="009D13D6" w:rsidRPr="009D13D6" w:rsidSect="00267291">
      <w:footerReference w:type="defaul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F3F" w:rsidRDefault="008D7F3F" w:rsidP="004756AB">
      <w:r>
        <w:separator/>
      </w:r>
    </w:p>
  </w:endnote>
  <w:endnote w:type="continuationSeparator" w:id="0">
    <w:p w:rsidR="008D7F3F" w:rsidRDefault="008D7F3F" w:rsidP="004756A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60484"/>
      <w:docPartObj>
        <w:docPartGallery w:val="Page Numbers (Bottom of Page)"/>
        <w:docPartUnique/>
      </w:docPartObj>
    </w:sdtPr>
    <w:sdtContent>
      <w:p w:rsidR="00E0141C" w:rsidRDefault="00FE1897">
        <w:pPr>
          <w:pStyle w:val="Footer"/>
          <w:jc w:val="center"/>
        </w:pPr>
        <w:fldSimple w:instr=" PAGE   \* MERGEFORMAT ">
          <w:r w:rsidR="00B146C8">
            <w:rPr>
              <w:noProof/>
            </w:rPr>
            <w:t>11</w:t>
          </w:r>
        </w:fldSimple>
      </w:p>
    </w:sdtContent>
  </w:sdt>
  <w:p w:rsidR="00E0141C" w:rsidRDefault="00E0141C" w:rsidP="004756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095"/>
      <w:docPartObj>
        <w:docPartGallery w:val="Page Numbers (Bottom of Page)"/>
        <w:docPartUnique/>
      </w:docPartObj>
    </w:sdtPr>
    <w:sdtContent>
      <w:p w:rsidR="00E0141C" w:rsidRDefault="00FE1897">
        <w:pPr>
          <w:pStyle w:val="Footer"/>
          <w:jc w:val="center"/>
        </w:pPr>
        <w:fldSimple w:instr=" PAGE   \* MERGEFORMAT ">
          <w:r w:rsidR="00B146C8">
            <w:rPr>
              <w:noProof/>
            </w:rPr>
            <w:t>1</w:t>
          </w:r>
        </w:fldSimple>
      </w:p>
    </w:sdtContent>
  </w:sdt>
  <w:p w:rsidR="00E0141C" w:rsidRDefault="00E01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F3F" w:rsidRDefault="008D7F3F" w:rsidP="004756AB">
      <w:r>
        <w:separator/>
      </w:r>
    </w:p>
  </w:footnote>
  <w:footnote w:type="continuationSeparator" w:id="0">
    <w:p w:rsidR="008D7F3F" w:rsidRDefault="008D7F3F" w:rsidP="004756AB">
      <w:r>
        <w:continuationSeparator/>
      </w:r>
    </w:p>
  </w:footnote>
  <w:footnote w:id="1">
    <w:p w:rsidR="00E0141C" w:rsidRDefault="00E0141C">
      <w:pPr>
        <w:pStyle w:val="FootnoteText"/>
      </w:pPr>
      <w:r>
        <w:rPr>
          <w:rStyle w:val="FootnoteReference"/>
        </w:rPr>
        <w:footnoteRef/>
      </w:r>
      <w:r>
        <w:t xml:space="preserve"> Dante, </w:t>
      </w:r>
      <w:r w:rsidRPr="005C3066">
        <w:rPr>
          <w:i/>
        </w:rPr>
        <w:t>The Inferno</w:t>
      </w:r>
      <w:r>
        <w:t>, trans. John Ciardi (New York:  New American Library, 1954), pp. 81 and 283.</w:t>
      </w:r>
    </w:p>
  </w:footnote>
  <w:footnote w:id="2">
    <w:p w:rsidR="00E0141C" w:rsidRDefault="00E0141C">
      <w:pPr>
        <w:pStyle w:val="FootnoteText"/>
      </w:pPr>
      <w:r>
        <w:rPr>
          <w:rStyle w:val="FootnoteReference"/>
        </w:rPr>
        <w:footnoteRef/>
      </w:r>
      <w:r>
        <w:t xml:space="preserve"> Minnesota Marriage Mess.</w:t>
      </w:r>
    </w:p>
  </w:footnote>
  <w:footnote w:id="3">
    <w:p w:rsidR="00E0141C" w:rsidRDefault="00E0141C">
      <w:pPr>
        <w:pStyle w:val="FootnoteText"/>
      </w:pPr>
      <w:r>
        <w:rPr>
          <w:rStyle w:val="FootnoteReference"/>
        </w:rPr>
        <w:footnoteRef/>
      </w:r>
      <w:r>
        <w:t xml:space="preserve"> </w:t>
      </w:r>
      <w:r>
        <w:rPr>
          <w:i/>
        </w:rPr>
        <w:t>Declaration on Certain Questions Concerning Sexual Ethics</w:t>
      </w:r>
      <w:r>
        <w:t>, number 6.</w:t>
      </w:r>
    </w:p>
  </w:footnote>
  <w:footnote w:id="4">
    <w:p w:rsidR="00E0141C" w:rsidRDefault="00E0141C">
      <w:pPr>
        <w:pStyle w:val="FootnoteText"/>
      </w:pPr>
      <w:r>
        <w:rPr>
          <w:rStyle w:val="FootnoteReference"/>
        </w:rPr>
        <w:footnoteRef/>
      </w:r>
      <w:r>
        <w:t xml:space="preserve"> Lev 18.22; 20.13; Rom 1.26-27; 1 Cor 6.9-10; 1 Tim 1.9-10.</w:t>
      </w:r>
    </w:p>
  </w:footnote>
  <w:footnote w:id="5">
    <w:p w:rsidR="00E0141C" w:rsidRDefault="00E0141C">
      <w:pPr>
        <w:pStyle w:val="FootnoteText"/>
      </w:pPr>
      <w:r>
        <w:rPr>
          <w:rStyle w:val="FootnoteReference"/>
        </w:rPr>
        <w:footnoteRef/>
      </w:r>
      <w:r>
        <w:t xml:space="preserve"> Dt 29.22f; 32.32; Wis 10.6; Is 1.9f; 3.9; 13.19; Jer 23.14; 49.18; 50.40; Lam 4.6; Ezek 16.46-56; Amos 4.11; Zeph 2.9; Mt 10.15; 11.22-24; Mk 6.11; Lk 10.12; 17.29; 2 Pet 2.6; Jude 7; Rev 11.8.</w:t>
      </w:r>
    </w:p>
  </w:footnote>
  <w:footnote w:id="6">
    <w:p w:rsidR="00E0141C" w:rsidRDefault="00E0141C">
      <w:pPr>
        <w:pStyle w:val="FootnoteText"/>
      </w:pPr>
      <w:r>
        <w:rPr>
          <w:rStyle w:val="FootnoteReference"/>
        </w:rPr>
        <w:footnoteRef/>
      </w:r>
      <w:r>
        <w:t xml:space="preserve"> Mt 10.11-15.</w:t>
      </w:r>
    </w:p>
  </w:footnote>
  <w:footnote w:id="7">
    <w:p w:rsidR="00E0141C" w:rsidRDefault="00E0141C">
      <w:pPr>
        <w:pStyle w:val="FootnoteText"/>
      </w:pPr>
      <w:r>
        <w:rPr>
          <w:rStyle w:val="FootnoteReference"/>
        </w:rPr>
        <w:footnoteRef/>
      </w:r>
      <w:r>
        <w:t xml:space="preserve"> F. Brown, S.R. Driver, and C.A. Briggs, </w:t>
      </w:r>
      <w:r w:rsidRPr="002F114A">
        <w:rPr>
          <w:i/>
        </w:rPr>
        <w:t>A Hebrew and English Lexicon of the Old Testament</w:t>
      </w:r>
      <w:r>
        <w:t xml:space="preserve"> (Oxford:  Oxford University Press, 1952).</w:t>
      </w:r>
    </w:p>
  </w:footnote>
  <w:footnote w:id="8">
    <w:p w:rsidR="00E0141C" w:rsidRDefault="00E0141C">
      <w:pPr>
        <w:pStyle w:val="FootnoteText"/>
      </w:pPr>
      <w:r>
        <w:rPr>
          <w:rStyle w:val="FootnoteReference"/>
        </w:rPr>
        <w:footnoteRef/>
      </w:r>
      <w:r>
        <w:t xml:space="preserve"> I exclude Judges 19.22 from this count, as this narrative is clearly modeled on the Sodom story, involves the same ambiguity, and therefore adds no clarification, one way or the other.</w:t>
      </w:r>
    </w:p>
  </w:footnote>
  <w:footnote w:id="9">
    <w:p w:rsidR="00E0141C" w:rsidRPr="00764374" w:rsidRDefault="00E0141C" w:rsidP="007F0DB7">
      <w:pPr>
        <w:spacing w:after="0" w:line="240" w:lineRule="auto"/>
      </w:pPr>
      <w:r w:rsidRPr="00764374">
        <w:rPr>
          <w:rStyle w:val="FootnoteReference"/>
        </w:rPr>
        <w:footnoteRef/>
      </w:r>
      <w:r w:rsidRPr="00764374">
        <w:t xml:space="preserve"> </w:t>
      </w:r>
      <w:r w:rsidRPr="00764374">
        <w:rPr>
          <w:sz w:val="20"/>
          <w:szCs w:val="20"/>
        </w:rPr>
        <w:t xml:space="preserve">Bob Dylan, “Jokerman,” </w:t>
      </w:r>
      <w:r w:rsidRPr="00764374">
        <w:rPr>
          <w:i/>
          <w:sz w:val="20"/>
          <w:szCs w:val="20"/>
        </w:rPr>
        <w:t>Lyrics 1962-1985</w:t>
      </w:r>
      <w:r w:rsidRPr="00764374">
        <w:rPr>
          <w:sz w:val="20"/>
          <w:szCs w:val="20"/>
        </w:rPr>
        <w:t xml:space="preserve"> (New York:  Alfred A. Knopf, 1985), p. 471.</w:t>
      </w:r>
    </w:p>
  </w:footnote>
  <w:footnote w:id="10">
    <w:p w:rsidR="00E0141C" w:rsidRPr="00764374" w:rsidRDefault="00E0141C" w:rsidP="006A135B">
      <w:pPr>
        <w:pStyle w:val="FootnoteText"/>
      </w:pPr>
      <w:r w:rsidRPr="00764374">
        <w:rPr>
          <w:rStyle w:val="FootnoteReference"/>
        </w:rPr>
        <w:footnoteRef/>
      </w:r>
      <w:r w:rsidRPr="00764374">
        <w:t xml:space="preserve"> Bernard </w:t>
      </w:r>
      <w:r>
        <w:t xml:space="preserve">J. F. </w:t>
      </w:r>
      <w:r w:rsidRPr="00764374">
        <w:t>Lonergan</w:t>
      </w:r>
      <w:r>
        <w:t>, S.J.</w:t>
      </w:r>
      <w:r w:rsidRPr="00764374">
        <w:t xml:space="preserve">, </w:t>
      </w:r>
      <w:r w:rsidRPr="00764374">
        <w:rPr>
          <w:i/>
        </w:rPr>
        <w:t>Insight</w:t>
      </w:r>
      <w:r>
        <w:rPr>
          <w:i/>
        </w:rPr>
        <w:t>:  A Study of Human Understanding</w:t>
      </w:r>
      <w:r w:rsidRPr="00764374">
        <w:t xml:space="preserve">, Volume 3 of the </w:t>
      </w:r>
      <w:r w:rsidRPr="00764374">
        <w:rPr>
          <w:i/>
        </w:rPr>
        <w:t>Collected Works of Bernard Lonergan</w:t>
      </w:r>
      <w:r w:rsidRPr="00764374">
        <w:t>, ed. Frederick E. Crowe and Robert M. Doran (Toronto:  University of Toronto Press, 1992), pp. 197-198, 311-3</w:t>
      </w:r>
      <w:r>
        <w:t>12, 314-316, 325, 328-329, 370,</w:t>
      </w:r>
      <w:r w:rsidRPr="00764374">
        <w:t>728</w:t>
      </w:r>
      <w:r>
        <w:t xml:space="preserve">.  </w:t>
      </w:r>
      <w:r w:rsidRPr="0032330E">
        <w:rPr>
          <w:i/>
        </w:rPr>
        <w:t>Method in Theology</w:t>
      </w:r>
      <w:r>
        <w:t xml:space="preserve"> (New York:  Herder and Herder, 1972), pp. 159-160, 208-209, 303.</w:t>
      </w:r>
    </w:p>
  </w:footnote>
  <w:footnote w:id="11">
    <w:p w:rsidR="00E0141C" w:rsidRDefault="00E0141C">
      <w:pPr>
        <w:pStyle w:val="FootnoteText"/>
      </w:pPr>
      <w:r>
        <w:rPr>
          <w:rStyle w:val="FootnoteReference"/>
        </w:rPr>
        <w:footnoteRef/>
      </w:r>
      <w:r>
        <w:t xml:space="preserve"> Derrick Sherwin Bailey, </w:t>
      </w:r>
      <w:r w:rsidRPr="0084179C">
        <w:rPr>
          <w:i/>
        </w:rPr>
        <w:t>Homosexuality in the Western Christian Tradition</w:t>
      </w:r>
      <w:r>
        <w:t xml:space="preserve"> (London:  Longmans, Green, 1955).</w:t>
      </w:r>
    </w:p>
  </w:footnote>
  <w:footnote w:id="12">
    <w:p w:rsidR="00E0141C" w:rsidRDefault="00E0141C">
      <w:pPr>
        <w:pStyle w:val="FootnoteText"/>
      </w:pPr>
      <w:r>
        <w:rPr>
          <w:rStyle w:val="FootnoteReference"/>
        </w:rPr>
        <w:footnoteRef/>
      </w:r>
      <w:r>
        <w:t xml:space="preserve"> Cf. Bernard J. F. Lonergan, S.J., </w:t>
      </w:r>
      <w:r w:rsidRPr="001F44BE">
        <w:rPr>
          <w:i/>
        </w:rPr>
        <w:t>Method in Theology</w:t>
      </w:r>
      <w:r>
        <w:t xml:space="preserve"> (cf. n. 10 </w:t>
      </w:r>
      <w:r w:rsidRPr="007C22D2">
        <w:rPr>
          <w:i/>
        </w:rPr>
        <w:t>supra</w:t>
      </w:r>
      <w:r>
        <w:t>), p. 279.</w:t>
      </w:r>
    </w:p>
  </w:footnote>
  <w:footnote w:id="13">
    <w:p w:rsidR="00E0141C" w:rsidRPr="007B59FC" w:rsidRDefault="00E0141C" w:rsidP="007F0DB7">
      <w:pPr>
        <w:tabs>
          <w:tab w:val="left" w:pos="8640"/>
        </w:tabs>
        <w:spacing w:after="0" w:line="240" w:lineRule="auto"/>
        <w:contextualSpacing/>
        <w:rPr>
          <w:rFonts w:ascii="Book Antiqua" w:hAnsi="Book Antiqua"/>
        </w:rPr>
      </w:pPr>
      <w:r>
        <w:rPr>
          <w:rStyle w:val="FootnoteReference"/>
        </w:rPr>
        <w:footnoteRef/>
      </w:r>
      <w:r>
        <w:t xml:space="preserve"> </w:t>
      </w:r>
      <w:r w:rsidRPr="00F222FE">
        <w:rPr>
          <w:sz w:val="20"/>
          <w:szCs w:val="20"/>
        </w:rPr>
        <w:t xml:space="preserve">John Boswell, </w:t>
      </w:r>
      <w:r w:rsidRPr="00F222FE">
        <w:rPr>
          <w:i/>
          <w:sz w:val="20"/>
          <w:szCs w:val="20"/>
        </w:rPr>
        <w:t>Christianity, Social Tolerance, and Homosexuality</w:t>
      </w:r>
      <w:r w:rsidRPr="00F222FE">
        <w:rPr>
          <w:sz w:val="20"/>
          <w:szCs w:val="20"/>
        </w:rPr>
        <w:t xml:space="preserve"> (Chicago:  University of Chicago Press, 1980).</w:t>
      </w:r>
    </w:p>
  </w:footnote>
  <w:footnote w:id="14">
    <w:p w:rsidR="00E0141C" w:rsidRDefault="00E0141C" w:rsidP="007B59FC">
      <w:pPr>
        <w:pStyle w:val="FootnoteText"/>
        <w:contextualSpacing/>
      </w:pPr>
      <w:r>
        <w:rPr>
          <w:rStyle w:val="FootnoteReference"/>
        </w:rPr>
        <w:footnoteRef/>
      </w:r>
      <w:r>
        <w:t xml:space="preserve"> Monica E. McAlpine, “The Pardoner’s Homosexuality and How It Matters,” </w:t>
      </w:r>
      <w:r w:rsidRPr="009C7F84">
        <w:rPr>
          <w:i/>
        </w:rPr>
        <w:t xml:space="preserve">PMLA </w:t>
      </w:r>
      <w:r>
        <w:t>95/1 (January 1980), pp. 8-22.</w:t>
      </w:r>
    </w:p>
  </w:footnote>
  <w:footnote w:id="15">
    <w:p w:rsidR="00E0141C" w:rsidRDefault="00E0141C">
      <w:pPr>
        <w:pStyle w:val="FootnoteText"/>
      </w:pPr>
      <w:r>
        <w:rPr>
          <w:rStyle w:val="FootnoteReference"/>
        </w:rPr>
        <w:footnoteRef/>
      </w:r>
      <w:r>
        <w:t xml:space="preserve"> David B. Burrell, C.S.C., </w:t>
      </w:r>
      <w:r w:rsidRPr="00CE4B7E">
        <w:t>“How Can I Be Right?,”</w:t>
      </w:r>
      <w:r>
        <w:t xml:space="preserve"> </w:t>
      </w:r>
      <w:r w:rsidRPr="00392558">
        <w:rPr>
          <w:i/>
        </w:rPr>
        <w:t>National Catholic Reporter</w:t>
      </w:r>
      <w:r>
        <w:t xml:space="preserve"> (January 28, 1977), p. 15.</w:t>
      </w:r>
    </w:p>
  </w:footnote>
  <w:footnote w:id="16">
    <w:p w:rsidR="00E0141C" w:rsidRDefault="00E0141C">
      <w:pPr>
        <w:pStyle w:val="FootnoteText"/>
      </w:pPr>
      <w:r>
        <w:rPr>
          <w:rStyle w:val="FootnoteReference"/>
        </w:rPr>
        <w:footnoteRef/>
      </w:r>
      <w:r>
        <w:t xml:space="preserve"> T.S. Eliot, “The Dry Salvages,” </w:t>
      </w:r>
      <w:r w:rsidRPr="007545C6">
        <w:rPr>
          <w:i/>
        </w:rPr>
        <w:t>Four Quartets</w:t>
      </w:r>
      <w:r>
        <w:t xml:space="preserve"> (San Diego:  Harcourt Brace Jovanovich, 1971), p. 44.</w:t>
      </w:r>
    </w:p>
  </w:footnote>
  <w:footnote w:id="17">
    <w:p w:rsidR="00E0141C" w:rsidRDefault="00E0141C">
      <w:pPr>
        <w:pStyle w:val="FootnoteText"/>
      </w:pPr>
      <w:r>
        <w:rPr>
          <w:rStyle w:val="FootnoteReference"/>
        </w:rPr>
        <w:footnoteRef/>
      </w:r>
      <w:r>
        <w:t xml:space="preserve"> Rosemary Haughton, </w:t>
      </w:r>
      <w:r w:rsidRPr="00F222FE">
        <w:rPr>
          <w:i/>
        </w:rPr>
        <w:t>The Catholic Thing</w:t>
      </w:r>
      <w:r>
        <w:t xml:space="preserve"> (Springfield IL:  Templegate Publishers, 1979), p. 33.</w:t>
      </w:r>
    </w:p>
  </w:footnote>
  <w:footnote w:id="18">
    <w:p w:rsidR="00E0141C" w:rsidRDefault="00E0141C">
      <w:pPr>
        <w:pStyle w:val="FootnoteText"/>
      </w:pPr>
      <w:r>
        <w:rPr>
          <w:rStyle w:val="FootnoteReference"/>
        </w:rPr>
        <w:footnoteRef/>
      </w:r>
      <w:r>
        <w:t xml:space="preserve"> </w:t>
      </w:r>
      <w:r w:rsidRPr="004064CB">
        <w:rPr>
          <w:i/>
        </w:rPr>
        <w:t>Ibid</w:t>
      </w:r>
      <w:r>
        <w:t>., p. 35.</w:t>
      </w:r>
    </w:p>
  </w:footnote>
  <w:footnote w:id="19">
    <w:p w:rsidR="00E0141C" w:rsidRDefault="00E0141C">
      <w:pPr>
        <w:pStyle w:val="FootnoteText"/>
      </w:pPr>
      <w:r>
        <w:rPr>
          <w:rStyle w:val="FootnoteReference"/>
        </w:rPr>
        <w:footnoteRef/>
      </w:r>
      <w:r w:rsidRPr="004064CB">
        <w:rPr>
          <w:i/>
        </w:rPr>
        <w:t xml:space="preserve"> Ibid</w:t>
      </w:r>
      <w:r>
        <w:t>., p. 36.</w:t>
      </w:r>
    </w:p>
  </w:footnote>
  <w:footnote w:id="20">
    <w:p w:rsidR="00E0141C" w:rsidRDefault="00E0141C">
      <w:pPr>
        <w:pStyle w:val="FootnoteText"/>
      </w:pPr>
      <w:r>
        <w:rPr>
          <w:rStyle w:val="FootnoteReference"/>
        </w:rPr>
        <w:footnoteRef/>
      </w:r>
      <w:r>
        <w:t xml:space="preserve"> I take the notion of permanent validity from Bernard J. F. Lonergan, S.J., </w:t>
      </w:r>
      <w:r w:rsidRPr="003444E9">
        <w:rPr>
          <w:i/>
        </w:rPr>
        <w:t>Philosophical and Theological Papers 1965-1980</w:t>
      </w:r>
      <w:r>
        <w:t xml:space="preserve">, Volume 17 of the </w:t>
      </w:r>
      <w:r w:rsidRPr="003444E9">
        <w:rPr>
          <w:i/>
        </w:rPr>
        <w:t>Collected Works of Bernard Lonergan</w:t>
      </w:r>
      <w:r>
        <w:t>, ed. Robert C. Croken and Robert M. Doran (Toronto:  University of Toronto Press, 2004), p. 405.</w:t>
      </w:r>
    </w:p>
  </w:footnote>
  <w:footnote w:id="21">
    <w:p w:rsidR="00E0141C" w:rsidRDefault="00E0141C">
      <w:pPr>
        <w:pStyle w:val="FootnoteText"/>
      </w:pPr>
      <w:r>
        <w:rPr>
          <w:rStyle w:val="FootnoteReference"/>
        </w:rPr>
        <w:footnoteRef/>
      </w:r>
      <w:r>
        <w:t xml:space="preserve"> I will give page references to the first Daughters of St. Paul edition, </w:t>
      </w:r>
      <w:r w:rsidRPr="00AB3C4D">
        <w:rPr>
          <w:i/>
        </w:rPr>
        <w:t xml:space="preserve">Original Unity of Man and Woman:  Catechesis on the Book of Genesis </w:t>
      </w:r>
      <w:r>
        <w:t xml:space="preserve">(Boston, 1981).  This reference, p. 85.  Somewhere and sometime in the course of the many moves that have transpired between then and now, I’ve lost my old copies of </w:t>
      </w:r>
      <w:r w:rsidRPr="00EF69FE">
        <w:rPr>
          <w:i/>
        </w:rPr>
        <w:t>L’Osservatore Romano</w:t>
      </w:r>
      <w:r>
        <w:t xml:space="preserve">.  I’ve also lost my original LP of </w:t>
      </w:r>
      <w:r w:rsidRPr="00AB3C4D">
        <w:rPr>
          <w:i/>
        </w:rPr>
        <w:t>Blonde on Blonde</w:t>
      </w:r>
      <w:r>
        <w:t>, probably in the same move.  “Bummer!” to both.</w:t>
      </w:r>
    </w:p>
  </w:footnote>
  <w:footnote w:id="22">
    <w:p w:rsidR="00E0141C" w:rsidRDefault="00E0141C">
      <w:pPr>
        <w:pStyle w:val="FootnoteText"/>
      </w:pPr>
      <w:r>
        <w:rPr>
          <w:rStyle w:val="FootnoteReference"/>
        </w:rPr>
        <w:footnoteRef/>
      </w:r>
      <w:r>
        <w:t xml:space="preserve"> </w:t>
      </w:r>
      <w:r w:rsidRPr="00AB3C4D">
        <w:rPr>
          <w:i/>
        </w:rPr>
        <w:t>Ibid</w:t>
      </w:r>
      <w:r>
        <w:t>., p. 71.</w:t>
      </w:r>
    </w:p>
  </w:footnote>
  <w:footnote w:id="23">
    <w:p w:rsidR="00E0141C" w:rsidRDefault="00E0141C">
      <w:pPr>
        <w:pStyle w:val="FootnoteText"/>
      </w:pPr>
      <w:r>
        <w:rPr>
          <w:rStyle w:val="FootnoteReference"/>
        </w:rPr>
        <w:footnoteRef/>
      </w:r>
      <w:r w:rsidRPr="00E16F5C">
        <w:rPr>
          <w:i/>
        </w:rPr>
        <w:t xml:space="preserve"> Ibid</w:t>
      </w:r>
      <w:r>
        <w:t>., p. 28.</w:t>
      </w:r>
    </w:p>
  </w:footnote>
  <w:footnote w:id="24">
    <w:p w:rsidR="00E0141C" w:rsidRDefault="00E0141C">
      <w:pPr>
        <w:pStyle w:val="FootnoteText"/>
      </w:pPr>
      <w:r>
        <w:rPr>
          <w:rStyle w:val="FootnoteReference"/>
        </w:rPr>
        <w:footnoteRef/>
      </w:r>
      <w:r>
        <w:t xml:space="preserve"> </w:t>
      </w:r>
      <w:r w:rsidRPr="00BB0751">
        <w:rPr>
          <w:i/>
        </w:rPr>
        <w:t>Ibid</w:t>
      </w:r>
      <w:r>
        <w:t>., pp. 38-39.</w:t>
      </w:r>
    </w:p>
  </w:footnote>
  <w:footnote w:id="25">
    <w:p w:rsidR="00E0141C" w:rsidRDefault="00E0141C">
      <w:pPr>
        <w:pStyle w:val="FootnoteText"/>
      </w:pPr>
      <w:r>
        <w:rPr>
          <w:rStyle w:val="FootnoteReference"/>
        </w:rPr>
        <w:footnoteRef/>
      </w:r>
      <w:r>
        <w:t xml:space="preserve"> </w:t>
      </w:r>
      <w:r w:rsidRPr="008013C2">
        <w:rPr>
          <w:i/>
        </w:rPr>
        <w:t>Ibid</w:t>
      </w:r>
      <w:r>
        <w:t>., p. 45.</w:t>
      </w:r>
    </w:p>
  </w:footnote>
  <w:footnote w:id="26">
    <w:p w:rsidR="00E0141C" w:rsidRDefault="00E0141C">
      <w:pPr>
        <w:pStyle w:val="FootnoteText"/>
      </w:pPr>
      <w:r>
        <w:rPr>
          <w:rStyle w:val="FootnoteReference"/>
        </w:rPr>
        <w:footnoteRef/>
      </w:r>
      <w:r>
        <w:t xml:space="preserve"> </w:t>
      </w:r>
      <w:r w:rsidRPr="00CC5653">
        <w:rPr>
          <w:i/>
        </w:rPr>
        <w:t>Ibid</w:t>
      </w:r>
      <w:r>
        <w:t>., p. 47.</w:t>
      </w:r>
    </w:p>
  </w:footnote>
  <w:footnote w:id="27">
    <w:p w:rsidR="00E0141C" w:rsidRDefault="00E0141C">
      <w:pPr>
        <w:pStyle w:val="FootnoteText"/>
      </w:pPr>
      <w:r>
        <w:rPr>
          <w:rStyle w:val="FootnoteReference"/>
        </w:rPr>
        <w:footnoteRef/>
      </w:r>
      <w:r>
        <w:t xml:space="preserve"> </w:t>
      </w:r>
      <w:r w:rsidRPr="001F522F">
        <w:rPr>
          <w:i/>
        </w:rPr>
        <w:t>Ibid</w:t>
      </w:r>
      <w:r>
        <w:t>., pp 154-155.</w:t>
      </w:r>
    </w:p>
  </w:footnote>
  <w:footnote w:id="28">
    <w:p w:rsidR="00E0141C" w:rsidRDefault="00E0141C">
      <w:pPr>
        <w:pStyle w:val="FootnoteText"/>
      </w:pPr>
      <w:r>
        <w:rPr>
          <w:rStyle w:val="FootnoteReference"/>
        </w:rPr>
        <w:footnoteRef/>
      </w:r>
      <w:r>
        <w:t xml:space="preserve"> </w:t>
      </w:r>
      <w:r w:rsidRPr="001F522F">
        <w:rPr>
          <w:i/>
        </w:rPr>
        <w:t>Ibid</w:t>
      </w:r>
      <w:r>
        <w:t xml:space="preserve">., p. 32 and pp. 159-161, respectively.  I have no illusion that my reading of these seminal thinkers has anywhere near the depth or breadth of John Paul’s reading.  Still, it is clear to me that he comes to conclusions on the basis of their work that they would not have shared.  Sexual orientation, for Eliade, would have been a profane matter, and a person of any orientation could certainly ‘live in the Sacred.’  In fact, the social ‘otherness’ of a gay person could very well dispose to possession of/by shamanic power.  As for Jung, he explicitly posited a positive interpretation of homosexuality.  “Often he is endowed with a wealth of religious feelings, which help him to bring the </w:t>
      </w:r>
      <w:r w:rsidRPr="000D4513">
        <w:rPr>
          <w:i/>
        </w:rPr>
        <w:t>ecclesia spiritualis</w:t>
      </w:r>
      <w:r>
        <w:t xml:space="preserve"> into reality, and a spiritual receptivity which makes him responsive to revelation.”  </w:t>
      </w:r>
      <w:r w:rsidRPr="000D4513">
        <w:rPr>
          <w:i/>
        </w:rPr>
        <w:t>The Collected Works of C.G. Jung</w:t>
      </w:r>
      <w:r>
        <w:t>, Volume 9, trans. R.F.C. Hull (New York:  Pantheon, 1959), p. 87.</w:t>
      </w:r>
    </w:p>
  </w:footnote>
  <w:footnote w:id="29">
    <w:p w:rsidR="00E0141C" w:rsidRDefault="00E0141C">
      <w:pPr>
        <w:pStyle w:val="FootnoteText"/>
      </w:pPr>
      <w:r>
        <w:rPr>
          <w:rStyle w:val="FootnoteReference"/>
        </w:rPr>
        <w:footnoteRef/>
      </w:r>
      <w:r>
        <w:t xml:space="preserve"> Mircea Eliade, </w:t>
      </w:r>
      <w:r w:rsidRPr="001F522F">
        <w:rPr>
          <w:i/>
        </w:rPr>
        <w:t>The Sacred and the Profane</w:t>
      </w:r>
      <w:r>
        <w:rPr>
          <w:i/>
        </w:rPr>
        <w:t>:  The Nature of Religion</w:t>
      </w:r>
      <w:r>
        <w:t xml:space="preserve"> (New York:  Harper, 1961), pp. 20-29, 95-113.  Here, too, I am convinced that Eliade’s notion of ‘repetition’ involves greater openness to a wide range of creative possibilities than seems true of John Paul’s use of the notion.</w:t>
      </w:r>
    </w:p>
  </w:footnote>
  <w:footnote w:id="30">
    <w:p w:rsidR="00E0141C" w:rsidRPr="00313377" w:rsidRDefault="00E0141C">
      <w:pPr>
        <w:pStyle w:val="FootnoteText"/>
      </w:pPr>
      <w:r>
        <w:rPr>
          <w:rStyle w:val="FootnoteReference"/>
        </w:rPr>
        <w:footnoteRef/>
      </w:r>
      <w:r>
        <w:t xml:space="preserve"> </w:t>
      </w:r>
      <w:r w:rsidRPr="00AB3C4D">
        <w:rPr>
          <w:i/>
        </w:rPr>
        <w:t>Original Unity of Man and Woman:  Catechesis on the Book of Genesis</w:t>
      </w:r>
      <w:r>
        <w:t xml:space="preserve"> (cf. n. 20 </w:t>
      </w:r>
      <w:r w:rsidRPr="00E20308">
        <w:rPr>
          <w:i/>
        </w:rPr>
        <w:t>supra</w:t>
      </w:r>
      <w:r>
        <w:t>), p. 56.</w:t>
      </w:r>
    </w:p>
  </w:footnote>
  <w:footnote w:id="31">
    <w:p w:rsidR="00E0141C" w:rsidRDefault="00E0141C">
      <w:pPr>
        <w:pStyle w:val="FootnoteText"/>
      </w:pPr>
      <w:r>
        <w:rPr>
          <w:rStyle w:val="FootnoteReference"/>
        </w:rPr>
        <w:footnoteRef/>
      </w:r>
      <w:r>
        <w:t xml:space="preserve"> </w:t>
      </w:r>
      <w:r w:rsidRPr="002C4007">
        <w:rPr>
          <w:i/>
        </w:rPr>
        <w:t>Ibid</w:t>
      </w:r>
      <w:r>
        <w:t>., p. 108.</w:t>
      </w:r>
    </w:p>
  </w:footnote>
  <w:footnote w:id="32">
    <w:p w:rsidR="00E0141C" w:rsidRPr="00597732" w:rsidRDefault="00E0141C" w:rsidP="00E9690A">
      <w:pPr>
        <w:tabs>
          <w:tab w:val="left" w:pos="8640"/>
        </w:tabs>
        <w:spacing w:after="0" w:line="240" w:lineRule="auto"/>
        <w:contextualSpacing/>
      </w:pPr>
      <w:r w:rsidRPr="00597732">
        <w:rPr>
          <w:rStyle w:val="FootnoteReference"/>
        </w:rPr>
        <w:footnoteRef/>
      </w:r>
      <w:r w:rsidRPr="00597732">
        <w:t xml:space="preserve"> </w:t>
      </w:r>
      <w:r w:rsidRPr="00597732">
        <w:rPr>
          <w:sz w:val="20"/>
          <w:szCs w:val="20"/>
        </w:rPr>
        <w:t xml:space="preserve">G.K. Chesterton, </w:t>
      </w:r>
      <w:r w:rsidRPr="00597732">
        <w:rPr>
          <w:i/>
          <w:sz w:val="20"/>
          <w:szCs w:val="20"/>
        </w:rPr>
        <w:t>St. Francis of Assisi</w:t>
      </w:r>
      <w:r w:rsidRPr="00597732">
        <w:rPr>
          <w:sz w:val="20"/>
          <w:szCs w:val="20"/>
        </w:rPr>
        <w:t xml:space="preserve"> (London:  Holder and Stoughton, 1951), pp. 114-115.</w:t>
      </w:r>
    </w:p>
  </w:footnote>
  <w:footnote w:id="33">
    <w:p w:rsidR="00E0141C" w:rsidRPr="00FF1449" w:rsidRDefault="00E0141C" w:rsidP="00B13418">
      <w:pPr>
        <w:pStyle w:val="FootnoteText"/>
        <w:contextualSpacing/>
      </w:pPr>
      <w:r>
        <w:rPr>
          <w:rStyle w:val="FootnoteReference"/>
        </w:rPr>
        <w:footnoteRef/>
      </w:r>
      <w:r>
        <w:t xml:space="preserve"> Gerard Manley Hopkins, </w:t>
      </w:r>
      <w:r w:rsidRPr="00FF1449">
        <w:rPr>
          <w:i/>
        </w:rPr>
        <w:t>The Major Poems</w:t>
      </w:r>
      <w:r>
        <w:t xml:space="preserve">, ed. </w:t>
      </w:r>
      <w:r w:rsidRPr="00FF1449">
        <w:t>Walford Davies (London:  J.M. Den</w:t>
      </w:r>
      <w:r>
        <w:t>t &amp; Sons Ltd., 1979), pp. 87-88.</w:t>
      </w:r>
    </w:p>
  </w:footnote>
  <w:footnote w:id="34">
    <w:p w:rsidR="00E0141C" w:rsidRDefault="00E0141C">
      <w:pPr>
        <w:pStyle w:val="FootnoteText"/>
        <w:contextualSpacing/>
      </w:pPr>
      <w:r>
        <w:rPr>
          <w:rStyle w:val="FootnoteReference"/>
        </w:rPr>
        <w:footnoteRef/>
      </w:r>
      <w:r>
        <w:t xml:space="preserve"> Robert Frost, “The Road Not Taken,” </w:t>
      </w:r>
      <w:r w:rsidRPr="007916AD">
        <w:rPr>
          <w:i/>
        </w:rPr>
        <w:t>The Poetry of Robert Frost</w:t>
      </w:r>
      <w:r>
        <w:t>, ed. Edward Connery Lathem (New York:  Henry Holt and Company, 1969), p. 105.</w:t>
      </w:r>
    </w:p>
  </w:footnote>
  <w:footnote w:id="35">
    <w:p w:rsidR="00E0141C" w:rsidRDefault="00E0141C">
      <w:pPr>
        <w:pStyle w:val="FootnoteText"/>
      </w:pPr>
      <w:r>
        <w:rPr>
          <w:rStyle w:val="FootnoteReference"/>
        </w:rPr>
        <w:footnoteRef/>
      </w:r>
      <w:r>
        <w:t xml:space="preserve"> Quoted by Alessandro Carrera, “Oh, the Streets of Rome:  Dylan in Italy</w:t>
      </w:r>
      <w:r w:rsidRPr="009A0A2F">
        <w:rPr>
          <w:i/>
        </w:rPr>
        <w:t>,” Highway 61 Revisited:  Bob Dylan’s Road from Minnesota to the World</w:t>
      </w:r>
      <w:r>
        <w:t>, ed. Colleen J. Sheehy and Thomas Swiss (Minneapolis:  University of Minnesota Press, 2009), p. 90.</w:t>
      </w:r>
    </w:p>
  </w:footnote>
  <w:footnote w:id="36">
    <w:p w:rsidR="00E0141C" w:rsidRDefault="00E0141C">
      <w:pPr>
        <w:pStyle w:val="FootnoteText"/>
      </w:pPr>
      <w:r>
        <w:rPr>
          <w:rStyle w:val="FootnoteReference"/>
        </w:rPr>
        <w:footnoteRef/>
      </w:r>
      <w:r>
        <w:t xml:space="preserve"> </w:t>
      </w:r>
      <w:r w:rsidRPr="009A0A2F">
        <w:rPr>
          <w:i/>
        </w:rPr>
        <w:t>Ibid</w:t>
      </w:r>
      <w:r>
        <w:t>., pp. 93-94.</w:t>
      </w:r>
    </w:p>
  </w:footnote>
  <w:footnote w:id="37">
    <w:p w:rsidR="00E0141C" w:rsidRDefault="00E0141C">
      <w:pPr>
        <w:pStyle w:val="FootnoteText"/>
      </w:pPr>
      <w:r>
        <w:rPr>
          <w:rStyle w:val="FootnoteReference"/>
        </w:rPr>
        <w:footnoteRef/>
      </w:r>
      <w:r>
        <w:t xml:space="preserve"> Bob Dylan, “Shelter from the Storm” (cf. n. 9 </w:t>
      </w:r>
      <w:r w:rsidRPr="00E20308">
        <w:rPr>
          <w:i/>
        </w:rPr>
        <w:t>supra</w:t>
      </w:r>
      <w:r>
        <w:t>), p. 361.</w:t>
      </w:r>
    </w:p>
  </w:footnote>
  <w:footnote w:id="38">
    <w:p w:rsidR="00E0141C" w:rsidRDefault="00E0141C">
      <w:pPr>
        <w:pStyle w:val="FootnoteText"/>
      </w:pPr>
      <w:r>
        <w:rPr>
          <w:rStyle w:val="FootnoteReference"/>
        </w:rPr>
        <w:footnoteRef/>
      </w:r>
      <w:r>
        <w:t xml:space="preserve"> Aidan Day, </w:t>
      </w:r>
      <w:r w:rsidRPr="00D7077C">
        <w:rPr>
          <w:i/>
        </w:rPr>
        <w:t>Jokerman:  Reading the Lyrics of Bob Dylan</w:t>
      </w:r>
      <w:r>
        <w:t xml:space="preserve"> (Oxford:  Blackwell, 1988), p. 68.</w:t>
      </w:r>
    </w:p>
  </w:footnote>
  <w:footnote w:id="39">
    <w:p w:rsidR="00E0141C" w:rsidRDefault="00E0141C">
      <w:pPr>
        <w:pStyle w:val="FootnoteText"/>
      </w:pPr>
      <w:r>
        <w:rPr>
          <w:rStyle w:val="FootnoteReference"/>
        </w:rPr>
        <w:footnoteRef/>
      </w:r>
      <w:r>
        <w:t xml:space="preserve"> Garrison Keillor, “A Tribute:  He Was in the Arts, You Know,” in </w:t>
      </w:r>
      <w:r w:rsidRPr="0092037E">
        <w:rPr>
          <w:i/>
        </w:rPr>
        <w:t>Divine Favor:  The Art of Joseph O’Connell</w:t>
      </w:r>
      <w:r>
        <w:t>, ed. Colman O’Connell, O.S.B. (Collegeville:  The Liturgical Press, 1990), pp. 14-15.</w:t>
      </w:r>
    </w:p>
  </w:footnote>
  <w:footnote w:id="40">
    <w:p w:rsidR="00E0141C" w:rsidRDefault="00E0141C">
      <w:pPr>
        <w:pStyle w:val="FootnoteText"/>
      </w:pPr>
      <w:r>
        <w:rPr>
          <w:rStyle w:val="FootnoteReference"/>
        </w:rPr>
        <w:footnoteRef/>
      </w:r>
      <w:r>
        <w:t xml:space="preserve"> </w:t>
      </w:r>
      <w:r w:rsidRPr="0092037E">
        <w:rPr>
          <w:i/>
        </w:rPr>
        <w:t>Original Unity of Man and Woman:  Catechesis on the Book of Genesis</w:t>
      </w:r>
      <w:r>
        <w:t xml:space="preserve"> (cf. n. 20 </w:t>
      </w:r>
      <w:r w:rsidRPr="0092037E">
        <w:rPr>
          <w:i/>
        </w:rPr>
        <w:t>supra</w:t>
      </w:r>
      <w:r>
        <w:t>), p. 99.</w:t>
      </w:r>
    </w:p>
  </w:footnote>
  <w:footnote w:id="41">
    <w:p w:rsidR="00E0141C" w:rsidRDefault="00E0141C">
      <w:pPr>
        <w:pStyle w:val="FootnoteText"/>
      </w:pPr>
      <w:r>
        <w:rPr>
          <w:rStyle w:val="FootnoteReference"/>
        </w:rPr>
        <w:footnoteRef/>
      </w:r>
      <w:r>
        <w:t xml:space="preserve"> Walker Percy, </w:t>
      </w:r>
      <w:r w:rsidRPr="005F6E57">
        <w:rPr>
          <w:i/>
        </w:rPr>
        <w:t>The Second Coming</w:t>
      </w:r>
      <w:r>
        <w:t xml:space="preserve"> (New York:  Farrar Straus Giroux, 1980), pp. 262-263.</w:t>
      </w:r>
    </w:p>
  </w:footnote>
  <w:footnote w:id="42">
    <w:p w:rsidR="00E0141C" w:rsidRDefault="00E0141C">
      <w:pPr>
        <w:pStyle w:val="FootnoteText"/>
      </w:pPr>
      <w:r>
        <w:rPr>
          <w:rStyle w:val="FootnoteReference"/>
        </w:rPr>
        <w:footnoteRef/>
      </w:r>
      <w:r>
        <w:t xml:space="preserve"> Bernard J. F. Lonergan, S.J., </w:t>
      </w:r>
      <w:r w:rsidRPr="008D334A">
        <w:rPr>
          <w:i/>
        </w:rPr>
        <w:t>Phenomenology and Logic:  The Boston College Lectures on Mathematical Logic and Existentialism</w:t>
      </w:r>
      <w:r>
        <w:t xml:space="preserve">, Volume 18 of the </w:t>
      </w:r>
      <w:r>
        <w:rPr>
          <w:i/>
        </w:rPr>
        <w:t>Collected W</w:t>
      </w:r>
      <w:r w:rsidRPr="008D334A">
        <w:rPr>
          <w:i/>
        </w:rPr>
        <w:t>orks of Bernard Lonergan</w:t>
      </w:r>
      <w:r>
        <w:t>, ed. Philip J. McShane (Toronto:  University of Toronto Press</w:t>
      </w:r>
      <w:r w:rsidR="00877D1C">
        <w:t>, 2001</w:t>
      </w:r>
      <w:r>
        <w:t>), p. 266.</w:t>
      </w:r>
    </w:p>
  </w:footnote>
  <w:footnote w:id="43">
    <w:p w:rsidR="00E0141C" w:rsidRDefault="00E0141C">
      <w:pPr>
        <w:pStyle w:val="FootnoteText"/>
      </w:pPr>
      <w:r>
        <w:rPr>
          <w:rStyle w:val="FootnoteReference"/>
        </w:rPr>
        <w:footnoteRef/>
      </w:r>
      <w:r>
        <w:t xml:space="preserve"> </w:t>
      </w:r>
      <w:r w:rsidRPr="003209E6">
        <w:rPr>
          <w:i/>
        </w:rPr>
        <w:t>Ibid</w:t>
      </w:r>
      <w:r>
        <w:t>., p. 268.</w:t>
      </w:r>
    </w:p>
  </w:footnote>
  <w:footnote w:id="44">
    <w:p w:rsidR="00E0141C" w:rsidRDefault="00E0141C">
      <w:pPr>
        <w:pStyle w:val="FootnoteText"/>
      </w:pPr>
      <w:r>
        <w:rPr>
          <w:rStyle w:val="FootnoteReference"/>
        </w:rPr>
        <w:footnoteRef/>
      </w:r>
      <w:r>
        <w:t xml:space="preserve"> Stephen Toulmin has argued, persuasively to me, that many of the inadequacies of modernity stemmed precisely from this rationalist insistence on necessity, universality, and certainty, which he contends entails a rejection of the medieval pursuit of understanding.  The latter was both more humble in its ambition, and more humane in its achievements.  He often notes that even many contemporary critics of ‘modernity’ remain caught, ironically, in this pursuit of universality/necessity/certainty, thus embracing the very foundation of that which they would criticize.  In Toulmin’s interpretation, Michel de Montaigne embodied a development of the classical/medieval tradition, and provided an alternative to the Cartesian search for certainty.  Alas, this was a road not taken.  Montaigne offered “a powerful case for classical skepticism, as the way to escape a presumptuous dogmatism.”  </w:t>
      </w:r>
      <w:r w:rsidRPr="00904FEA">
        <w:rPr>
          <w:i/>
        </w:rPr>
        <w:t xml:space="preserve">Cosmopolis:  The Hidden Agenda of Modernity </w:t>
      </w:r>
      <w:r>
        <w:t xml:space="preserve">(Chicago:  University of Chicago Press, 1990), p. 36.  This was rooted in the fact that “he was deeply suspicious of writers who relied on abstract theories to undermine the truth of our common experience.”  </w:t>
      </w:r>
      <w:r w:rsidRPr="00904FEA">
        <w:rPr>
          <w:i/>
        </w:rPr>
        <w:t xml:space="preserve">Return to Reason </w:t>
      </w:r>
      <w:r>
        <w:t>(Cambridge MA:  Harvard University Press, 2001), p. 22.  This insistence on concreteness, with its concomitant suspicion of abstract moral generalizing, e.g., led Montaigne to be attentive to very diverse cultural traditions without becoming apoplectic at the dif</w:t>
      </w:r>
      <w:r w:rsidR="00502D7B">
        <w:t>ferent, the unusual, the ‘other</w:t>
      </w:r>
      <w:r>
        <w:t>.</w:t>
      </w:r>
      <w:r w:rsidR="00502D7B">
        <w:t>’</w:t>
      </w:r>
      <w:r>
        <w:t xml:space="preserve">  He could calmly observe, for example, that “The laws of conscience, which we say are born of nature, are born of custom.”  </w:t>
      </w:r>
      <w:r w:rsidRPr="004A211C">
        <w:rPr>
          <w:i/>
        </w:rPr>
        <w:t>The Complete Essays of Montaigne</w:t>
      </w:r>
      <w:r>
        <w:t xml:space="preserve">, trans. Donald M. Frame (Stanford:  Stanford University Press, 1958), p. 83.  So, too, he could simply note the wide diversity of cultural patterns of marriage, including men marrying men, and accept this as data, which the mind would seek to understand before venturing moral judgment.  </w:t>
      </w:r>
      <w:r w:rsidRPr="004A211C">
        <w:rPr>
          <w:i/>
        </w:rPr>
        <w:t>Ibid</w:t>
      </w:r>
      <w:r>
        <w:t>., p. 80.  The existentialist critique of phenomenology’s pursuit of the universal and necessary, accordingly, has corollaries in a deep – and Catholic – tradition.</w:t>
      </w:r>
    </w:p>
  </w:footnote>
  <w:footnote w:id="45">
    <w:p w:rsidR="00E0141C" w:rsidRDefault="00E0141C">
      <w:pPr>
        <w:pStyle w:val="FootnoteText"/>
      </w:pPr>
      <w:r>
        <w:rPr>
          <w:rStyle w:val="FootnoteReference"/>
        </w:rPr>
        <w:footnoteRef/>
      </w:r>
      <w:r>
        <w:t xml:space="preserve"> Bernard J. F. Lonergan, S.J., (cf. n. 42 </w:t>
      </w:r>
      <w:r w:rsidRPr="00F97701">
        <w:rPr>
          <w:i/>
        </w:rPr>
        <w:t>supra</w:t>
      </w:r>
      <w:r>
        <w:t>), p. 262.</w:t>
      </w:r>
    </w:p>
  </w:footnote>
  <w:footnote w:id="46">
    <w:p w:rsidR="00E0141C" w:rsidRDefault="00E0141C">
      <w:pPr>
        <w:pStyle w:val="FootnoteText"/>
      </w:pPr>
      <w:r>
        <w:rPr>
          <w:rStyle w:val="FootnoteReference"/>
        </w:rPr>
        <w:footnoteRef/>
      </w:r>
      <w:r>
        <w:t xml:space="preserve"> </w:t>
      </w:r>
      <w:r w:rsidRPr="003209E6">
        <w:rPr>
          <w:i/>
        </w:rPr>
        <w:t>Ibid</w:t>
      </w:r>
      <w:r>
        <w:t>., p. 240.</w:t>
      </w:r>
    </w:p>
  </w:footnote>
  <w:footnote w:id="47">
    <w:p w:rsidR="00E0141C" w:rsidRDefault="00E0141C">
      <w:pPr>
        <w:pStyle w:val="FootnoteText"/>
      </w:pPr>
      <w:r>
        <w:rPr>
          <w:rStyle w:val="FootnoteReference"/>
        </w:rPr>
        <w:footnoteRef/>
      </w:r>
      <w:r>
        <w:t xml:space="preserve"> </w:t>
      </w:r>
      <w:r w:rsidRPr="003209E6">
        <w:rPr>
          <w:i/>
        </w:rPr>
        <w:t>Ibid</w:t>
      </w:r>
      <w:r>
        <w:t>., p. 243.</w:t>
      </w:r>
    </w:p>
  </w:footnote>
  <w:footnote w:id="48">
    <w:p w:rsidR="00E0141C" w:rsidRDefault="00E0141C">
      <w:pPr>
        <w:pStyle w:val="FootnoteText"/>
      </w:pPr>
      <w:r>
        <w:rPr>
          <w:rStyle w:val="FootnoteReference"/>
        </w:rPr>
        <w:footnoteRef/>
      </w:r>
      <w:r>
        <w:t xml:space="preserve"> I had long judged Peter S. Hawkins, for example, to be among Percy’s keenest interpreters.  My copies of </w:t>
      </w:r>
      <w:r w:rsidRPr="00C252B6">
        <w:rPr>
          <w:i/>
        </w:rPr>
        <w:t xml:space="preserve">The Language of Grace:  Flannery O’Connor, Walker Percy, &amp; Iris Murdoch </w:t>
      </w:r>
      <w:r>
        <w:t xml:space="preserve">(Boston:  Cowley, 1983) and </w:t>
      </w:r>
      <w:r w:rsidRPr="00C252B6">
        <w:rPr>
          <w:i/>
        </w:rPr>
        <w:t>Getting Nowhere:  Christian Hope &amp; Utopian Dream</w:t>
      </w:r>
      <w:r>
        <w:t xml:space="preserve"> (Boston:  Cowley, 1985) are tattered [and I hate tattered books!] because I have returned to them over and over this past quarter century.  Only recently did I read his essay, “Counter, Original, Spare, Strange,” in </w:t>
      </w:r>
      <w:r w:rsidRPr="00C252B6">
        <w:rPr>
          <w:i/>
        </w:rPr>
        <w:t>Our Selves, Our Souls &amp; Bodies:  Sexuality and the Household of God</w:t>
      </w:r>
      <w:r>
        <w:t>, ed. Charles Hefling (Boston:  Cowley, 1996), pp. 76-86, and discover that Hawkins is gay, which has enabled a deepened understanding of his interpretation of Percy, and also, I discovered for the first time, of Hopkins.</w:t>
      </w:r>
    </w:p>
  </w:footnote>
  <w:footnote w:id="49">
    <w:p w:rsidR="00E0141C" w:rsidRDefault="00E0141C">
      <w:pPr>
        <w:pStyle w:val="FootnoteText"/>
      </w:pPr>
      <w:r>
        <w:rPr>
          <w:rStyle w:val="FootnoteReference"/>
        </w:rPr>
        <w:footnoteRef/>
      </w:r>
      <w:r>
        <w:t xml:space="preserve"> Rosemary Haughton (cf. n. 16 </w:t>
      </w:r>
      <w:r w:rsidRPr="003209E6">
        <w:rPr>
          <w:i/>
        </w:rPr>
        <w:t>supra</w:t>
      </w:r>
      <w:r>
        <w:t>), p. 33.</w:t>
      </w:r>
    </w:p>
  </w:footnote>
  <w:footnote w:id="50">
    <w:p w:rsidR="00E0141C" w:rsidRDefault="00E0141C">
      <w:pPr>
        <w:pStyle w:val="FootnoteText"/>
      </w:pPr>
      <w:r>
        <w:rPr>
          <w:rStyle w:val="FootnoteReference"/>
        </w:rPr>
        <w:footnoteRef/>
      </w:r>
      <w:r>
        <w:t xml:space="preserve"> Bernard J. F. Lonergan, S.J. (cf. n. 42 </w:t>
      </w:r>
      <w:r w:rsidRPr="00D952E5">
        <w:rPr>
          <w:i/>
        </w:rPr>
        <w:t>supra</w:t>
      </w:r>
      <w:r>
        <w:t>), p. 243.</w:t>
      </w:r>
    </w:p>
  </w:footnote>
  <w:footnote w:id="51">
    <w:p w:rsidR="00E0141C" w:rsidRDefault="00E0141C">
      <w:pPr>
        <w:pStyle w:val="FootnoteText"/>
      </w:pPr>
      <w:r>
        <w:rPr>
          <w:rStyle w:val="FootnoteReference"/>
        </w:rPr>
        <w:footnoteRef/>
      </w:r>
      <w:r>
        <w:t xml:space="preserve"> And there does seem to be a ‘hardening’ of categories.  Reading Genesis 1-2, then John Paul’s reflections, and then nuptial theologians, like Angelo Cardinal Scola, recalled to my mind Lonergan’s quip:  “The problem with twelfth-century theology was that they had as many divisions of grace as Augustine had adjectives to talk about it.”  </w:t>
      </w:r>
      <w:r w:rsidRPr="0015751A">
        <w:rPr>
          <w:i/>
        </w:rPr>
        <w:t>Caring about Meaning:  Patterns in the Life of Bernard Lonergan,</w:t>
      </w:r>
      <w:r>
        <w:t xml:space="preserve"> ed. Pierrot Lambert, Charlotte Tansey, and Cathleen Going (Montréal:  Thomas More Institute, 1982), p. 111.</w:t>
      </w:r>
    </w:p>
  </w:footnote>
  <w:footnote w:id="52">
    <w:p w:rsidR="00E0141C" w:rsidRDefault="00E0141C">
      <w:pPr>
        <w:pStyle w:val="FootnoteText"/>
      </w:pPr>
      <w:r>
        <w:rPr>
          <w:rStyle w:val="FootnoteReference"/>
        </w:rPr>
        <w:footnoteRef/>
      </w:r>
      <w:r>
        <w:t xml:space="preserve"> Bob Dylan, “Idiot Wind” (cf. n. 9 </w:t>
      </w:r>
      <w:r w:rsidRPr="00BF003B">
        <w:rPr>
          <w:i/>
        </w:rPr>
        <w:t>supra</w:t>
      </w:r>
      <w:r>
        <w:t>), p. 368.</w:t>
      </w:r>
    </w:p>
  </w:footnote>
  <w:footnote w:id="53">
    <w:p w:rsidR="00E0141C" w:rsidRDefault="00E0141C">
      <w:pPr>
        <w:pStyle w:val="FootnoteText"/>
      </w:pPr>
      <w:r>
        <w:rPr>
          <w:rStyle w:val="FootnoteReference"/>
        </w:rPr>
        <w:footnoteRef/>
      </w:r>
      <w:r>
        <w:t xml:space="preserve"> Phyl Newbeck, </w:t>
      </w:r>
      <w:r w:rsidRPr="000F0F17">
        <w:rPr>
          <w:i/>
        </w:rPr>
        <w:t xml:space="preserve">Virginia Hasn’t Always Been for Lovers:  Interracial Marriage Bans and the Case of Richard and Mildred Loving </w:t>
      </w:r>
      <w:r>
        <w:t>(Carbondale:  Southern Illinois University Press, 2004).</w:t>
      </w:r>
    </w:p>
  </w:footnote>
  <w:footnote w:id="54">
    <w:p w:rsidR="00E0141C" w:rsidRDefault="00E0141C">
      <w:pPr>
        <w:pStyle w:val="FootnoteText"/>
      </w:pPr>
      <w:r>
        <w:rPr>
          <w:rStyle w:val="FootnoteReference"/>
        </w:rPr>
        <w:footnoteRef/>
      </w:r>
      <w:r>
        <w:t xml:space="preserve"> </w:t>
      </w:r>
      <w:r w:rsidRPr="00CA5A4F">
        <w:rPr>
          <w:i/>
        </w:rPr>
        <w:t>Ibid</w:t>
      </w:r>
      <w:r>
        <w:t>., p. 65.</w:t>
      </w:r>
    </w:p>
  </w:footnote>
  <w:footnote w:id="55">
    <w:p w:rsidR="00E0141C" w:rsidRDefault="00E0141C">
      <w:pPr>
        <w:pStyle w:val="FootnoteText"/>
      </w:pPr>
      <w:r>
        <w:rPr>
          <w:rStyle w:val="FootnoteReference"/>
        </w:rPr>
        <w:footnoteRef/>
      </w:r>
      <w:r>
        <w:t xml:space="preserve"> </w:t>
      </w:r>
      <w:r w:rsidRPr="00255F7A">
        <w:rPr>
          <w:i/>
        </w:rPr>
        <w:t>Ibid</w:t>
      </w:r>
      <w:r>
        <w:t>., p. 9.</w:t>
      </w:r>
    </w:p>
  </w:footnote>
  <w:footnote w:id="56">
    <w:p w:rsidR="00E0141C" w:rsidRDefault="00E0141C">
      <w:pPr>
        <w:pStyle w:val="FootnoteText"/>
      </w:pPr>
      <w:r>
        <w:rPr>
          <w:rStyle w:val="FootnoteReference"/>
        </w:rPr>
        <w:footnoteRef/>
      </w:r>
      <w:r>
        <w:t xml:space="preserve"> </w:t>
      </w:r>
      <w:r w:rsidRPr="00255F7A">
        <w:rPr>
          <w:i/>
        </w:rPr>
        <w:t>Ibid</w:t>
      </w:r>
      <w:r>
        <w:t>., p. 41.</w:t>
      </w:r>
    </w:p>
  </w:footnote>
  <w:footnote w:id="57">
    <w:p w:rsidR="00E0141C" w:rsidRDefault="00E0141C">
      <w:pPr>
        <w:pStyle w:val="FootnoteText"/>
      </w:pPr>
      <w:r>
        <w:rPr>
          <w:rStyle w:val="FootnoteReference"/>
        </w:rPr>
        <w:footnoteRef/>
      </w:r>
      <w:r>
        <w:t xml:space="preserve"> </w:t>
      </w:r>
      <w:r w:rsidRPr="00FD502F">
        <w:rPr>
          <w:i/>
        </w:rPr>
        <w:t>Ibid</w:t>
      </w:r>
      <w:r>
        <w:t>., p. 162.</w:t>
      </w:r>
    </w:p>
  </w:footnote>
  <w:footnote w:id="58">
    <w:p w:rsidR="00E0141C" w:rsidRDefault="00E0141C">
      <w:pPr>
        <w:pStyle w:val="FootnoteText"/>
      </w:pPr>
      <w:r>
        <w:rPr>
          <w:rStyle w:val="FootnoteReference"/>
        </w:rPr>
        <w:footnoteRef/>
      </w:r>
      <w:r>
        <w:t xml:space="preserve"> </w:t>
      </w:r>
      <w:r w:rsidRPr="00255F7A">
        <w:rPr>
          <w:i/>
        </w:rPr>
        <w:t>Ibid</w:t>
      </w:r>
      <w:r>
        <w:t>., p. 37.</w:t>
      </w:r>
    </w:p>
  </w:footnote>
  <w:footnote w:id="59">
    <w:p w:rsidR="00E0141C" w:rsidRDefault="00E0141C">
      <w:pPr>
        <w:pStyle w:val="FootnoteText"/>
      </w:pPr>
      <w:r>
        <w:rPr>
          <w:rStyle w:val="FootnoteReference"/>
        </w:rPr>
        <w:footnoteRef/>
      </w:r>
      <w:r w:rsidRPr="00255F7A">
        <w:rPr>
          <w:i/>
        </w:rPr>
        <w:t xml:space="preserve"> Ibid</w:t>
      </w:r>
      <w:r>
        <w:t>., p. 62.</w:t>
      </w:r>
    </w:p>
  </w:footnote>
  <w:footnote w:id="60">
    <w:p w:rsidR="00E0141C" w:rsidRDefault="00E0141C">
      <w:pPr>
        <w:pStyle w:val="FootnoteText"/>
      </w:pPr>
      <w:r>
        <w:rPr>
          <w:rStyle w:val="FootnoteReference"/>
        </w:rPr>
        <w:footnoteRef/>
      </w:r>
      <w:r>
        <w:t xml:space="preserve"> </w:t>
      </w:r>
      <w:r w:rsidRPr="0006598F">
        <w:rPr>
          <w:i/>
        </w:rPr>
        <w:t>Ibid</w:t>
      </w:r>
      <w:r>
        <w:t>., p. 99.</w:t>
      </w:r>
    </w:p>
  </w:footnote>
  <w:footnote w:id="61">
    <w:p w:rsidR="00E0141C" w:rsidRDefault="00E0141C">
      <w:pPr>
        <w:pStyle w:val="FootnoteText"/>
      </w:pPr>
      <w:r>
        <w:rPr>
          <w:rStyle w:val="FootnoteReference"/>
        </w:rPr>
        <w:footnoteRef/>
      </w:r>
      <w:r w:rsidRPr="00B66E8D">
        <w:rPr>
          <w:i/>
        </w:rPr>
        <w:t xml:space="preserve"> Ibid</w:t>
      </w:r>
      <w:r>
        <w:t>., pp. 107-108.</w:t>
      </w:r>
    </w:p>
  </w:footnote>
  <w:footnote w:id="62">
    <w:p w:rsidR="00E0141C" w:rsidRDefault="00E0141C">
      <w:pPr>
        <w:pStyle w:val="FootnoteText"/>
      </w:pPr>
      <w:r>
        <w:rPr>
          <w:rStyle w:val="FootnoteReference"/>
        </w:rPr>
        <w:footnoteRef/>
      </w:r>
      <w:r>
        <w:t xml:space="preserve"> </w:t>
      </w:r>
      <w:r w:rsidRPr="00B66E8D">
        <w:rPr>
          <w:i/>
        </w:rPr>
        <w:t>Ibid</w:t>
      </w:r>
      <w:r>
        <w:t>., p. 144.</w:t>
      </w:r>
    </w:p>
  </w:footnote>
  <w:footnote w:id="63">
    <w:p w:rsidR="00E0141C" w:rsidRDefault="00E0141C">
      <w:pPr>
        <w:pStyle w:val="FootnoteText"/>
      </w:pPr>
      <w:r>
        <w:rPr>
          <w:rStyle w:val="FootnoteReference"/>
        </w:rPr>
        <w:footnoteRef/>
      </w:r>
      <w:r>
        <w:t xml:space="preserve"> </w:t>
      </w:r>
      <w:r w:rsidRPr="00B66E8D">
        <w:rPr>
          <w:i/>
        </w:rPr>
        <w:t>Ibid</w:t>
      </w:r>
      <w:r>
        <w:t>., p. 196.</w:t>
      </w:r>
    </w:p>
  </w:footnote>
  <w:footnote w:id="64">
    <w:p w:rsidR="00E0141C" w:rsidRDefault="00E0141C">
      <w:pPr>
        <w:pStyle w:val="FootnoteText"/>
      </w:pPr>
      <w:r>
        <w:rPr>
          <w:rStyle w:val="FootnoteReference"/>
        </w:rPr>
        <w:footnoteRef/>
      </w:r>
      <w:r w:rsidRPr="009D1AEC">
        <w:rPr>
          <w:i/>
        </w:rPr>
        <w:t xml:space="preserve"> Ibid</w:t>
      </w:r>
      <w:r>
        <w:t>., p. 219.</w:t>
      </w:r>
    </w:p>
  </w:footnote>
  <w:footnote w:id="65">
    <w:p w:rsidR="00E0141C" w:rsidRDefault="00E0141C">
      <w:pPr>
        <w:pStyle w:val="FootnoteText"/>
      </w:pPr>
      <w:r>
        <w:rPr>
          <w:rStyle w:val="FootnoteReference"/>
        </w:rPr>
        <w:footnoteRef/>
      </w:r>
      <w:r w:rsidRPr="009D1AEC">
        <w:rPr>
          <w:i/>
        </w:rPr>
        <w:t xml:space="preserve"> Ibid</w:t>
      </w:r>
      <w:r>
        <w:t>., p. 211.</w:t>
      </w:r>
    </w:p>
  </w:footnote>
  <w:footnote w:id="66">
    <w:p w:rsidR="00E0141C" w:rsidRDefault="00E0141C">
      <w:pPr>
        <w:pStyle w:val="FootnoteText"/>
      </w:pPr>
      <w:r>
        <w:rPr>
          <w:rStyle w:val="FootnoteReference"/>
        </w:rPr>
        <w:footnoteRef/>
      </w:r>
      <w:r>
        <w:t xml:space="preserve"> </w:t>
      </w:r>
      <w:r w:rsidRPr="00581B08">
        <w:rPr>
          <w:i/>
        </w:rPr>
        <w:t>Ibid</w:t>
      </w:r>
      <w:r>
        <w:t>., p. 101.</w:t>
      </w:r>
    </w:p>
  </w:footnote>
  <w:footnote w:id="67">
    <w:p w:rsidR="00E0141C" w:rsidRPr="00101805" w:rsidRDefault="00E0141C">
      <w:pPr>
        <w:pStyle w:val="FootnoteText"/>
      </w:pPr>
      <w:r>
        <w:rPr>
          <w:rStyle w:val="FootnoteReference"/>
        </w:rPr>
        <w:footnoteRef/>
      </w:r>
      <w:r w:rsidRPr="00101805">
        <w:t xml:space="preserve"> </w:t>
      </w:r>
      <w:r w:rsidRPr="00101805">
        <w:rPr>
          <w:i/>
        </w:rPr>
        <w:t>Contra</w:t>
      </w:r>
      <w:r w:rsidRPr="00101805">
        <w:t xml:space="preserve"> current assertions, the traditional definition of mar</w:t>
      </w:r>
      <w:r>
        <w:t xml:space="preserve">riage – in most of the territory of this nation and for most of its history – has been the union of one </w:t>
      </w:r>
      <w:r w:rsidRPr="00101805">
        <w:rPr>
          <w:i/>
        </w:rPr>
        <w:t>white</w:t>
      </w:r>
      <w:r>
        <w:t xml:space="preserve"> man and one </w:t>
      </w:r>
      <w:r w:rsidRPr="00101805">
        <w:rPr>
          <w:i/>
        </w:rPr>
        <w:t>white</w:t>
      </w:r>
      <w:r>
        <w:t xml:space="preserve"> woman, or of one </w:t>
      </w:r>
      <w:r w:rsidRPr="00101805">
        <w:rPr>
          <w:i/>
        </w:rPr>
        <w:t>colored</w:t>
      </w:r>
      <w:r>
        <w:t xml:space="preserve"> man and one </w:t>
      </w:r>
      <w:r w:rsidRPr="00101805">
        <w:rPr>
          <w:i/>
        </w:rPr>
        <w:t>colored</w:t>
      </w:r>
      <w:r>
        <w:t xml:space="preserve"> woman, with all sorts of different permutations at different times and in different places.  If you want to insist on the traditional definition, that’s it.</w:t>
      </w:r>
    </w:p>
  </w:footnote>
  <w:footnote w:id="68">
    <w:p w:rsidR="00E0141C" w:rsidRPr="00101805" w:rsidRDefault="00E0141C">
      <w:pPr>
        <w:pStyle w:val="FootnoteText"/>
      </w:pPr>
      <w:r>
        <w:rPr>
          <w:rStyle w:val="FootnoteReference"/>
        </w:rPr>
        <w:footnoteRef/>
      </w:r>
      <w:r w:rsidRPr="00101805">
        <w:t xml:space="preserve"> </w:t>
      </w:r>
      <w:r>
        <w:t xml:space="preserve">Phyl Newbeck (cf. n. 53 </w:t>
      </w:r>
      <w:r w:rsidRPr="00AF379A">
        <w:rPr>
          <w:i/>
        </w:rPr>
        <w:t>supra</w:t>
      </w:r>
      <w:r>
        <w:t>)</w:t>
      </w:r>
      <w:r w:rsidRPr="00101805">
        <w:t>, p. 49.</w:t>
      </w:r>
    </w:p>
  </w:footnote>
  <w:footnote w:id="69">
    <w:p w:rsidR="00E0141C" w:rsidRDefault="00E0141C">
      <w:pPr>
        <w:pStyle w:val="FootnoteText"/>
      </w:pPr>
      <w:r>
        <w:rPr>
          <w:rStyle w:val="FootnoteReference"/>
        </w:rPr>
        <w:footnoteRef/>
      </w:r>
      <w:r>
        <w:t xml:space="preserve"> Let their names be remembered:  John J. Russell (Richmond), Lawrence Cardinal Shehan (Baltimore), Paul Hallihan (Atlanta), Philip Hannan (New Orleans), Robert Lucey and Thomas Tschoepe (San Antonio), Joseph Brunine (Apostolic Administrator, Natchez-Jackson), Lawrence DeFalco (Amarillo), Joseph Dimick (Apostolic Administrator, Nashville), Thomas Gorman (Dallas-Ft. Worth), Joseph Hodges (Wheeling), John Morkovsky (Apostolic Administrator, Galveston-Houston), Victor Reed (Oklahoma City and Tulsa), L.</w:t>
      </w:r>
      <w:r w:rsidR="003F2836">
        <w:t xml:space="preserve"> </w:t>
      </w:r>
      <w:r>
        <w:t>J. Reicher (Austin), Ernest Unterkoefler (Charleston), Vincent Waters (Raleigh).  R.I.P.</w:t>
      </w:r>
    </w:p>
  </w:footnote>
  <w:footnote w:id="70">
    <w:p w:rsidR="00E0141C" w:rsidRDefault="00E0141C">
      <w:pPr>
        <w:pStyle w:val="FootnoteText"/>
      </w:pPr>
      <w:r>
        <w:rPr>
          <w:rStyle w:val="FootnoteReference"/>
        </w:rPr>
        <w:footnoteRef/>
      </w:r>
      <w:r>
        <w:t xml:space="preserve"> Phyl Newbeck (cf. n. 53 </w:t>
      </w:r>
      <w:r w:rsidRPr="00AF379A">
        <w:rPr>
          <w:i/>
        </w:rPr>
        <w:t>supra</w:t>
      </w:r>
      <w:r>
        <w:t>), p. 166.</w:t>
      </w:r>
    </w:p>
  </w:footnote>
  <w:footnote w:id="71">
    <w:p w:rsidR="00E0141C" w:rsidRDefault="00E0141C">
      <w:pPr>
        <w:pStyle w:val="FootnoteText"/>
      </w:pPr>
      <w:r>
        <w:rPr>
          <w:rStyle w:val="FootnoteReference"/>
        </w:rPr>
        <w:footnoteRef/>
      </w:r>
      <w:r w:rsidR="00EF4517">
        <w:t xml:space="preserve"> Robert Drinan,</w:t>
      </w:r>
      <w:r>
        <w:t xml:space="preserve"> S.J., “The Loving Decision and the Freedom to Marry,” </w:t>
      </w:r>
      <w:r w:rsidRPr="002D57E2">
        <w:rPr>
          <w:i/>
        </w:rPr>
        <w:t>Ohio State Law Journal</w:t>
      </w:r>
      <w:r>
        <w:t xml:space="preserve"> 29 (1968), pp. 358-398.</w:t>
      </w:r>
    </w:p>
  </w:footnote>
  <w:footnote w:id="72">
    <w:p w:rsidR="00E0141C" w:rsidRDefault="00E0141C">
      <w:pPr>
        <w:pStyle w:val="FootnoteText"/>
      </w:pPr>
      <w:r>
        <w:rPr>
          <w:rStyle w:val="FootnoteReference"/>
        </w:rPr>
        <w:footnoteRef/>
      </w:r>
      <w:r>
        <w:t xml:space="preserve"> John T. Noonan, Jr., </w:t>
      </w:r>
      <w:r w:rsidRPr="00160FB8">
        <w:rPr>
          <w:i/>
        </w:rPr>
        <w:t xml:space="preserve">A </w:t>
      </w:r>
      <w:r>
        <w:rPr>
          <w:i/>
        </w:rPr>
        <w:t>C</w:t>
      </w:r>
      <w:r w:rsidRPr="00160FB8">
        <w:rPr>
          <w:i/>
        </w:rPr>
        <w:t>hurch That Can and Cannot Change:  The Development of Catholic Moral Teaching</w:t>
      </w:r>
      <w:r>
        <w:t xml:space="preserve"> (Notre Dame:  University of Notre Dame Press, 2005), pp. 215-216.</w:t>
      </w:r>
    </w:p>
  </w:footnote>
  <w:footnote w:id="73">
    <w:p w:rsidR="00E0141C" w:rsidRDefault="00E0141C">
      <w:pPr>
        <w:pStyle w:val="FootnoteText"/>
      </w:pPr>
      <w:r>
        <w:rPr>
          <w:rStyle w:val="FootnoteReference"/>
        </w:rPr>
        <w:footnoteRef/>
      </w:r>
      <w:r>
        <w:t xml:space="preserve"> My younger brother is happily married, with three adorable children, to a woman he could not have ma</w:t>
      </w:r>
      <w:r w:rsidR="00F75279">
        <w:t>rried in South Dakota as late as</w:t>
      </w:r>
      <w:r>
        <w:t xml:space="preserve"> 1957, just months before he was born.  When they return to the small town in which we were raised, not even there does a single head turn.  How different it would have been such a short time ago.</w:t>
      </w:r>
    </w:p>
  </w:footnote>
  <w:footnote w:id="74">
    <w:p w:rsidR="00E0141C" w:rsidRDefault="00E0141C">
      <w:pPr>
        <w:pStyle w:val="FootnoteText"/>
      </w:pPr>
      <w:r>
        <w:rPr>
          <w:rStyle w:val="FootnoteReference"/>
        </w:rPr>
        <w:footnoteRef/>
      </w:r>
      <w:r>
        <w:t xml:space="preserve"> John T. Noonan, Jr. (cf. n 72</w:t>
      </w:r>
      <w:r w:rsidRPr="00601F79">
        <w:rPr>
          <w:i/>
        </w:rPr>
        <w:t xml:space="preserve"> supra</w:t>
      </w:r>
      <w:r>
        <w:t>), p. 211.</w:t>
      </w:r>
    </w:p>
  </w:footnote>
  <w:footnote w:id="75">
    <w:p w:rsidR="00E0141C" w:rsidRDefault="00E0141C">
      <w:pPr>
        <w:pStyle w:val="FootnoteText"/>
      </w:pPr>
      <w:r>
        <w:rPr>
          <w:rStyle w:val="FootnoteReference"/>
        </w:rPr>
        <w:footnoteRef/>
      </w:r>
      <w:r>
        <w:t xml:space="preserve"> Bernard J. F. Lonergan, S.J., </w:t>
      </w:r>
      <w:r w:rsidRPr="00826BAE">
        <w:rPr>
          <w:i/>
        </w:rPr>
        <w:t>Insight:  A Study of Human Understanding</w:t>
      </w:r>
      <w:r>
        <w:t xml:space="preserve"> (cf. n. 10 </w:t>
      </w:r>
      <w:r w:rsidRPr="00826BAE">
        <w:rPr>
          <w:i/>
        </w:rPr>
        <w:t>supra</w:t>
      </w:r>
      <w:r>
        <w:t>), p</w:t>
      </w:r>
      <w:r w:rsidRPr="001C3F53">
        <w:t>. 755</w:t>
      </w:r>
      <w:r>
        <w:t>.</w:t>
      </w:r>
    </w:p>
  </w:footnote>
  <w:footnote w:id="76">
    <w:p w:rsidR="00E0141C" w:rsidRDefault="00E0141C">
      <w:pPr>
        <w:pStyle w:val="FootnoteText"/>
      </w:pPr>
      <w:r>
        <w:rPr>
          <w:rStyle w:val="FootnoteReference"/>
        </w:rPr>
        <w:footnoteRef/>
      </w:r>
      <w:r>
        <w:t xml:space="preserve"> John T. Noonan, Jr. (cf. n. 72 </w:t>
      </w:r>
      <w:r w:rsidRPr="00826BAE">
        <w:rPr>
          <w:i/>
        </w:rPr>
        <w:t>supra</w:t>
      </w:r>
      <w:r>
        <w:t>), p. 215.</w:t>
      </w:r>
    </w:p>
  </w:footnote>
  <w:footnote w:id="77">
    <w:p w:rsidR="00E0141C" w:rsidRDefault="00E0141C">
      <w:pPr>
        <w:pStyle w:val="FootnoteText"/>
      </w:pPr>
      <w:r>
        <w:rPr>
          <w:rStyle w:val="FootnoteReference"/>
        </w:rPr>
        <w:footnoteRef/>
      </w:r>
      <w:r>
        <w:t xml:space="preserve"> Phyl Newbeck (cf. n. 53 </w:t>
      </w:r>
      <w:r w:rsidRPr="00E50BE2">
        <w:rPr>
          <w:i/>
        </w:rPr>
        <w:t>supra</w:t>
      </w:r>
      <w:r>
        <w:t>), p. 195.</w:t>
      </w:r>
    </w:p>
  </w:footnote>
  <w:footnote w:id="78">
    <w:p w:rsidR="00E0141C" w:rsidRDefault="00E0141C">
      <w:pPr>
        <w:pStyle w:val="FootnoteText"/>
      </w:pPr>
      <w:r>
        <w:rPr>
          <w:rStyle w:val="FootnoteReference"/>
        </w:rPr>
        <w:footnoteRef/>
      </w:r>
      <w:r>
        <w:t xml:space="preserve"> </w:t>
      </w:r>
      <w:r w:rsidRPr="00E50BE2">
        <w:rPr>
          <w:i/>
        </w:rPr>
        <w:t>Ibid</w:t>
      </w:r>
      <w:r>
        <w:t>., p. 219.</w:t>
      </w:r>
    </w:p>
  </w:footnote>
  <w:footnote w:id="79">
    <w:p w:rsidR="00E0141C" w:rsidRDefault="00E0141C">
      <w:pPr>
        <w:pStyle w:val="FootnoteText"/>
      </w:pPr>
      <w:r>
        <w:rPr>
          <w:rStyle w:val="FootnoteReference"/>
        </w:rPr>
        <w:footnoteRef/>
      </w:r>
      <w:r>
        <w:t xml:space="preserve"> Habits die hard.  I have long resisted engaging this tradition because it is so discontinuous with the fundamental framework of thinking that has grounded my appro</w:t>
      </w:r>
      <w:r w:rsidR="00502D7B">
        <w:t>priation of ‘the Catholic thing</w:t>
      </w:r>
      <w:r>
        <w:t>.</w:t>
      </w:r>
      <w:r w:rsidR="00502D7B">
        <w:t>’</w:t>
      </w:r>
      <w:r>
        <w:t xml:space="preserve">  It has gradually become clear to me, though, that I cannot possibly hope to understand the emerging trend of official Catholic teaching without some grasp of its foundations.  And if I am to hold – as I do – that understanding is pivotal to the theological enterprise, then the effort to understand what seems ‘other’ (in the sense of strange ‘to me’) is something that I must not only preach, but practice.  Two sources have led to this reluctant acknowledgment on my part.  Fergus Kerr, O.P., has traced this trend in a manner that even I can begin to grasp.  </w:t>
      </w:r>
      <w:r w:rsidRPr="00F91431">
        <w:rPr>
          <w:i/>
        </w:rPr>
        <w:t xml:space="preserve">Twentieth-Century Catholic Theologians </w:t>
      </w:r>
      <w:r>
        <w:t xml:space="preserve">(Oxford:  Blackwell Publishing, 2007), especially pp. 121-144, 176-182, 193-201, and 214-221.  It is from Kerr that I took the clue that perhaps the work of Cardinal Scola might be an accessible point of entry. </w:t>
      </w:r>
      <w:r w:rsidRPr="00F91431">
        <w:rPr>
          <w:i/>
        </w:rPr>
        <w:t xml:space="preserve"> Ibid</w:t>
      </w:r>
      <w:r>
        <w:t xml:space="preserve">., pp. 195, 198.  The seed for sensing the need to make this effort had been planted in the less-than-fertile soil of my mind by Robert Doran, S.J., “Lonergan and Balthasar:  Methodological Considerations,” </w:t>
      </w:r>
      <w:r w:rsidRPr="00F91431">
        <w:rPr>
          <w:i/>
        </w:rPr>
        <w:t>Theological Studies</w:t>
      </w:r>
      <w:r>
        <w:t xml:space="preserve"> 58/1 (March 1997), pp. 61-84.</w:t>
      </w:r>
    </w:p>
  </w:footnote>
  <w:footnote w:id="80">
    <w:p w:rsidR="00E0141C" w:rsidRDefault="00E0141C">
      <w:pPr>
        <w:pStyle w:val="FootnoteText"/>
      </w:pPr>
      <w:r>
        <w:rPr>
          <w:rStyle w:val="FootnoteReference"/>
        </w:rPr>
        <w:footnoteRef/>
      </w:r>
      <w:r>
        <w:t xml:space="preserve"> Angelo Cardinal Scola, </w:t>
      </w:r>
      <w:r w:rsidRPr="00C24533">
        <w:rPr>
          <w:i/>
        </w:rPr>
        <w:t>The Nuptial Mystery</w:t>
      </w:r>
      <w:r>
        <w:t xml:space="preserve"> (Grand Rapids MI:  Wi</w:t>
      </w:r>
      <w:r w:rsidR="00260E15">
        <w:t>lliam B. Eerdmans Publishing Co.</w:t>
      </w:r>
      <w:r>
        <w:t>, 2005).</w:t>
      </w:r>
    </w:p>
  </w:footnote>
  <w:footnote w:id="81">
    <w:p w:rsidR="00E0141C" w:rsidRDefault="00E0141C">
      <w:pPr>
        <w:pStyle w:val="FootnoteText"/>
      </w:pPr>
      <w:r>
        <w:rPr>
          <w:rStyle w:val="FootnoteReference"/>
        </w:rPr>
        <w:footnoteRef/>
      </w:r>
      <w:r>
        <w:t xml:space="preserve"> It seems passing strange, though, that so many of those who were/are motivated by the rejection of Baroque scholasticism are enthusiasts of Baroque art.  Go figure.</w:t>
      </w:r>
    </w:p>
  </w:footnote>
  <w:footnote w:id="82">
    <w:p w:rsidR="00E0141C" w:rsidRDefault="00E0141C">
      <w:pPr>
        <w:pStyle w:val="FootnoteText"/>
      </w:pPr>
      <w:r>
        <w:rPr>
          <w:rStyle w:val="FootnoteReference"/>
        </w:rPr>
        <w:footnoteRef/>
      </w:r>
      <w:r>
        <w:t xml:space="preserve"> And here we return to a foundational divergence of interpretation.  Many, I suspect, who would wholeheartedly embrace what I have just said, would have written ‘the bodily and psychic depths of </w:t>
      </w:r>
      <w:r w:rsidRPr="00FA3E4D">
        <w:rPr>
          <w:i/>
        </w:rPr>
        <w:t>the person</w:t>
      </w:r>
      <w:r>
        <w:t xml:space="preserve">,’ not ‘the bodily and psychic depths of </w:t>
      </w:r>
      <w:r w:rsidRPr="00FA3E4D">
        <w:rPr>
          <w:i/>
        </w:rPr>
        <w:t>each of us</w:t>
      </w:r>
      <w:r w:rsidR="00502D7B">
        <w:t>.’</w:t>
      </w:r>
      <w:r>
        <w:t xml:space="preserve">  Bac</w:t>
      </w:r>
      <w:r w:rsidR="00502D7B">
        <w:t>k to ‘our bodies’ and ‘the body</w:t>
      </w:r>
      <w:r>
        <w:t>.</w:t>
      </w:r>
      <w:r w:rsidR="00502D7B">
        <w:t>’</w:t>
      </w:r>
    </w:p>
  </w:footnote>
  <w:footnote w:id="83">
    <w:p w:rsidR="00E0141C" w:rsidRDefault="00E0141C">
      <w:pPr>
        <w:pStyle w:val="FootnoteText"/>
      </w:pPr>
      <w:r>
        <w:rPr>
          <w:rStyle w:val="FootnoteReference"/>
        </w:rPr>
        <w:footnoteRef/>
      </w:r>
      <w:r>
        <w:t xml:space="preserve"> T.S. Eliot, </w:t>
      </w:r>
      <w:r w:rsidRPr="000E18C5">
        <w:rPr>
          <w:i/>
        </w:rPr>
        <w:t>Murder in the Cathedral</w:t>
      </w:r>
      <w:r>
        <w:t xml:space="preserve"> (New York:  Harcourt, Brace &amp; Wold, 1963), p. 19.</w:t>
      </w:r>
    </w:p>
  </w:footnote>
  <w:footnote w:id="84">
    <w:p w:rsidR="00E0141C" w:rsidRDefault="00E0141C">
      <w:pPr>
        <w:pStyle w:val="FootnoteText"/>
      </w:pPr>
      <w:r>
        <w:rPr>
          <w:rStyle w:val="FootnoteReference"/>
        </w:rPr>
        <w:footnoteRef/>
      </w:r>
      <w:r>
        <w:t xml:space="preserve"> I rejoice in the appearance of three recent essays by Lonergan scholars, one on Dylan and two on Berrigan, which find me feeling less alone in the universe, less lost in the cosmos.  Glenn Hughes, “Ulterior Significance in the Art of Bob Dylan,” </w:t>
      </w:r>
      <w:r w:rsidRPr="0013600B">
        <w:rPr>
          <w:i/>
        </w:rPr>
        <w:t>Journal of Macrodynamic Analysis</w:t>
      </w:r>
      <w:r>
        <w:t xml:space="preserve"> 5 (2011):  18-40.  Patrick D. Brown, “Lonergan and Berrigan:  Two Radical and Visionary Jesuits,” </w:t>
      </w:r>
      <w:r w:rsidRPr="0013600B">
        <w:rPr>
          <w:i/>
        </w:rPr>
        <w:t xml:space="preserve">Faith, Resistance, and the Future:  Daniel Berrigan’s Challenge to Catholic Social Thought, </w:t>
      </w:r>
      <w:r>
        <w:t xml:space="preserve">ed. James </w:t>
      </w:r>
      <w:r w:rsidR="00DA043C">
        <w:t xml:space="preserve">L. </w:t>
      </w:r>
      <w:r>
        <w:t xml:space="preserve">Marsh </w:t>
      </w:r>
      <w:r w:rsidR="00DA043C">
        <w:t xml:space="preserve">and Anna J. Brown </w:t>
      </w:r>
      <w:r>
        <w:t xml:space="preserve">(New York:  Fordham University Press, 2012):  </w:t>
      </w:r>
      <w:r w:rsidRPr="00F579F3">
        <w:t>183-208.</w:t>
      </w:r>
      <w:r>
        <w:t xml:space="preserve">  Robert M. Doran, S.J., “Bernard Lonergan and Daniel Berrigan,”</w:t>
      </w:r>
      <w:r>
        <w:rPr>
          <w:i/>
        </w:rPr>
        <w:t xml:space="preserve"> i</w:t>
      </w:r>
      <w:r w:rsidRPr="00F579F3">
        <w:rPr>
          <w:i/>
        </w:rPr>
        <w:t>bid</w:t>
      </w:r>
      <w:r>
        <w:t>., pp. 119-131.</w:t>
      </w:r>
    </w:p>
  </w:footnote>
  <w:footnote w:id="85">
    <w:p w:rsidR="00E0141C" w:rsidRPr="00261A99" w:rsidRDefault="00E0141C" w:rsidP="000E18C5">
      <w:pPr>
        <w:tabs>
          <w:tab w:val="left" w:pos="8640"/>
        </w:tabs>
        <w:spacing w:after="0" w:line="240" w:lineRule="auto"/>
        <w:contextualSpacing/>
        <w:rPr>
          <w:sz w:val="20"/>
          <w:szCs w:val="20"/>
        </w:rPr>
      </w:pPr>
      <w:r w:rsidRPr="00CF1381">
        <w:rPr>
          <w:rStyle w:val="FootnoteReference"/>
          <w:sz w:val="20"/>
          <w:szCs w:val="20"/>
        </w:rPr>
        <w:footnoteRef/>
      </w:r>
      <w:r>
        <w:rPr>
          <w:sz w:val="20"/>
          <w:szCs w:val="20"/>
        </w:rPr>
        <w:t xml:space="preserve"> Each of the major biographer</w:t>
      </w:r>
      <w:r w:rsidRPr="00CF1381">
        <w:rPr>
          <w:sz w:val="20"/>
          <w:szCs w:val="20"/>
        </w:rPr>
        <w:t xml:space="preserve">s </w:t>
      </w:r>
      <w:r>
        <w:rPr>
          <w:sz w:val="20"/>
          <w:szCs w:val="20"/>
        </w:rPr>
        <w:t xml:space="preserve">(Tad Szulc, George Weigel, George </w:t>
      </w:r>
      <w:r w:rsidRPr="00D60707">
        <w:rPr>
          <w:sz w:val="20"/>
          <w:szCs w:val="20"/>
        </w:rPr>
        <w:t>Huntston</w:t>
      </w:r>
      <w:r>
        <w:rPr>
          <w:sz w:val="20"/>
          <w:szCs w:val="20"/>
        </w:rPr>
        <w:t xml:space="preserve"> Williams) </w:t>
      </w:r>
      <w:r w:rsidRPr="00CF1381">
        <w:rPr>
          <w:sz w:val="20"/>
          <w:szCs w:val="20"/>
        </w:rPr>
        <w:t>of John Paul narrate the formative influence of poets, dramatists, and composers, and each narration lists a series of artists, all of them firmly within the Romantic tradition, yet without identifying Romanticism as a common thread.</w:t>
      </w:r>
      <w:r>
        <w:rPr>
          <w:sz w:val="20"/>
          <w:szCs w:val="20"/>
        </w:rPr>
        <w:t xml:space="preserve">  The closest is Szulc, who no</w:t>
      </w:r>
      <w:r w:rsidRPr="00CF1381">
        <w:rPr>
          <w:sz w:val="20"/>
          <w:szCs w:val="20"/>
        </w:rPr>
        <w:t>t</w:t>
      </w:r>
      <w:r>
        <w:rPr>
          <w:sz w:val="20"/>
          <w:szCs w:val="20"/>
        </w:rPr>
        <w:t xml:space="preserve">es that at the beginning of his university studies at the Jagiellonian, </w:t>
      </w:r>
      <w:r w:rsidRPr="00CF1381">
        <w:rPr>
          <w:sz w:val="20"/>
          <w:szCs w:val="20"/>
        </w:rPr>
        <w:t>“Karol submitted a lengthy study of ‘Madame de Staël as</w:t>
      </w:r>
      <w:r>
        <w:rPr>
          <w:sz w:val="20"/>
          <w:szCs w:val="20"/>
        </w:rPr>
        <w:t xml:space="preserve"> a Theoretician of Romanticism,’</w:t>
      </w:r>
      <w:r w:rsidRPr="00CF1381">
        <w:rPr>
          <w:sz w:val="20"/>
          <w:szCs w:val="20"/>
        </w:rPr>
        <w:t xml:space="preserve"> apparently his first written literary effort at the university.”  Tad Szulc, </w:t>
      </w:r>
      <w:r w:rsidRPr="00CF1381">
        <w:rPr>
          <w:i/>
          <w:sz w:val="20"/>
          <w:szCs w:val="20"/>
        </w:rPr>
        <w:t>Pope John Paul II:  The Biography</w:t>
      </w:r>
      <w:r w:rsidRPr="00CF1381">
        <w:rPr>
          <w:sz w:val="20"/>
          <w:szCs w:val="20"/>
        </w:rPr>
        <w:t xml:space="preserve"> (New York:  Scribner 1995), p. 89.</w:t>
      </w:r>
      <w:r>
        <w:rPr>
          <w:sz w:val="20"/>
          <w:szCs w:val="20"/>
        </w:rPr>
        <w:t xml:space="preserve">  Are there roots here of seeking the form of the Beautiful in the grand gesture, the paradigmatic, the archetypal?  I suspect so, but have far too little knowledge here for this to be anything more than a suspicion.  If you know anyone looking for a dissertation topic, further inquiry here would be of fundamental value.</w:t>
      </w:r>
    </w:p>
  </w:footnote>
  <w:footnote w:id="86">
    <w:p w:rsidR="00E0141C" w:rsidRDefault="00E0141C" w:rsidP="00261A99">
      <w:pPr>
        <w:pStyle w:val="FootnoteText"/>
        <w:tabs>
          <w:tab w:val="left" w:pos="5380"/>
        </w:tabs>
        <w:contextualSpacing/>
      </w:pPr>
      <w:r>
        <w:rPr>
          <w:rStyle w:val="FootnoteReference"/>
        </w:rPr>
        <w:footnoteRef/>
      </w:r>
      <w:r>
        <w:t xml:space="preserve"> Daniel Berrigan, S.J., </w:t>
      </w:r>
      <w:r w:rsidRPr="000E18C5">
        <w:rPr>
          <w:i/>
        </w:rPr>
        <w:t>The Bride:  Essays in the Church</w:t>
      </w:r>
      <w:r>
        <w:t xml:space="preserve"> (New York:  Macmillan, 1959).</w:t>
      </w:r>
      <w:r>
        <w:tab/>
      </w:r>
    </w:p>
  </w:footnote>
  <w:footnote w:id="87">
    <w:p w:rsidR="00E0141C" w:rsidRDefault="00E0141C">
      <w:pPr>
        <w:pStyle w:val="FootnoteText"/>
      </w:pPr>
      <w:r>
        <w:rPr>
          <w:rStyle w:val="FootnoteReference"/>
        </w:rPr>
        <w:footnoteRef/>
      </w:r>
      <w:r>
        <w:t xml:space="preserve"> Daniel Berrigan, S.J., </w:t>
      </w:r>
      <w:r w:rsidRPr="00D878F8">
        <w:rPr>
          <w:i/>
        </w:rPr>
        <w:t>Lights on in the House of the Dead:  A Prison Diary</w:t>
      </w:r>
      <w:r>
        <w:t xml:space="preserve"> (New York:  Doubleday, 1974).</w:t>
      </w:r>
    </w:p>
  </w:footnote>
  <w:footnote w:id="88">
    <w:p w:rsidR="00E0141C" w:rsidRDefault="00E0141C">
      <w:pPr>
        <w:pStyle w:val="FootnoteText"/>
      </w:pPr>
      <w:r>
        <w:rPr>
          <w:rStyle w:val="FootnoteReference"/>
        </w:rPr>
        <w:footnoteRef/>
      </w:r>
      <w:r>
        <w:t xml:space="preserve"> Daniel Berrigan, S.J., “Skunk,” </w:t>
      </w:r>
      <w:r w:rsidRPr="00F13717">
        <w:rPr>
          <w:i/>
        </w:rPr>
        <w:t>Prison Poems</w:t>
      </w:r>
      <w:r>
        <w:t xml:space="preserve"> (New York:  Viking Press, 1973), p. 83.</w:t>
      </w:r>
    </w:p>
  </w:footnote>
  <w:footnote w:id="89">
    <w:p w:rsidR="00E0141C" w:rsidRDefault="00E0141C">
      <w:pPr>
        <w:pStyle w:val="FootnoteText"/>
      </w:pPr>
      <w:r>
        <w:rPr>
          <w:rStyle w:val="FootnoteReference"/>
        </w:rPr>
        <w:footnoteRef/>
      </w:r>
      <w:r>
        <w:t xml:space="preserve"> Richard McSorley, S.J., </w:t>
      </w:r>
      <w:r w:rsidRPr="00B269D8">
        <w:rPr>
          <w:i/>
        </w:rPr>
        <w:t>It’s a Sin t</w:t>
      </w:r>
      <w:r>
        <w:rPr>
          <w:i/>
        </w:rPr>
        <w:t>o Build a Nuclear Weapon:  The C</w:t>
      </w:r>
      <w:r w:rsidRPr="00B269D8">
        <w:rPr>
          <w:i/>
        </w:rPr>
        <w:t>ollected Works on War and Christian Peacemaking of Richard McSorley, S.J.,</w:t>
      </w:r>
      <w:r>
        <w:t xml:space="preserve"> ed. John Dear, S.J. (Baltimore:  Fortkamp Publishing, 1991).</w:t>
      </w:r>
    </w:p>
  </w:footnote>
  <w:footnote w:id="90">
    <w:p w:rsidR="00E0141C" w:rsidRDefault="00E0141C">
      <w:pPr>
        <w:pStyle w:val="FootnoteText"/>
      </w:pPr>
      <w:r>
        <w:rPr>
          <w:rStyle w:val="FootnoteReference"/>
        </w:rPr>
        <w:footnoteRef/>
      </w:r>
      <w:r>
        <w:t xml:space="preserve"> Albert Camus, “The Unbeliever and Christians,” </w:t>
      </w:r>
      <w:r w:rsidRPr="00B269D8">
        <w:rPr>
          <w:i/>
        </w:rPr>
        <w:t>Resistance, Rebellion, and Death</w:t>
      </w:r>
      <w:r>
        <w:t>, trans. Justin O’Brien (New York:  Modern Library, 1963), p. 53.</w:t>
      </w:r>
    </w:p>
  </w:footnote>
  <w:footnote w:id="91">
    <w:p w:rsidR="00E0141C" w:rsidRDefault="00E0141C">
      <w:pPr>
        <w:pStyle w:val="FootnoteText"/>
      </w:pPr>
      <w:r>
        <w:rPr>
          <w:rStyle w:val="FootnoteReference"/>
        </w:rPr>
        <w:footnoteRef/>
      </w:r>
      <w:r>
        <w:t xml:space="preserve"> Gerard Manley Hopkins, “God’s Grandeur” (cf. n. 33 </w:t>
      </w:r>
      <w:r w:rsidRPr="00B269D8">
        <w:rPr>
          <w:i/>
        </w:rPr>
        <w:t>supra</w:t>
      </w:r>
      <w:r>
        <w:t>), p. 64.</w:t>
      </w:r>
    </w:p>
  </w:footnote>
  <w:footnote w:id="92">
    <w:p w:rsidR="00E0141C" w:rsidRDefault="00E0141C">
      <w:pPr>
        <w:pStyle w:val="FootnoteText"/>
      </w:pPr>
      <w:r>
        <w:rPr>
          <w:rStyle w:val="FootnoteReference"/>
        </w:rPr>
        <w:footnoteRef/>
      </w:r>
      <w:r>
        <w:t xml:space="preserve"> Cf. Bill McKibben, </w:t>
      </w:r>
      <w:r w:rsidRPr="00986F93">
        <w:rPr>
          <w:i/>
        </w:rPr>
        <w:t>The End of Nature</w:t>
      </w:r>
      <w:r>
        <w:t xml:space="preserve"> (New York:  Random House, 2006).  He argues that what we still colloquially call ‘nature’ has become an artifice, a human creation, that it is no longer possible, for example, for biologists to find a single living cell that does not carry a trace residue of artificial chemicals, and that such traces alter the ‘nature’ of the cell.  The life and death of entire species is no longer a phenomenon of nature, but of history.  </w:t>
      </w:r>
      <w:r w:rsidRPr="0095743D">
        <w:rPr>
          <w:i/>
        </w:rPr>
        <w:t>Pace</w:t>
      </w:r>
      <w:r>
        <w:t xml:space="preserve"> Francis Fukuyama, history not only has not ended, it may have only just begun – at least in the sense of human historical dominance over the terrestrial order having commenced, and showing few signs of abating.</w:t>
      </w:r>
    </w:p>
  </w:footnote>
  <w:footnote w:id="93">
    <w:p w:rsidR="00E0141C" w:rsidRDefault="00E0141C">
      <w:pPr>
        <w:pStyle w:val="FootnoteText"/>
      </w:pPr>
      <w:r>
        <w:rPr>
          <w:rStyle w:val="FootnoteReference"/>
        </w:rPr>
        <w:footnoteRef/>
      </w:r>
      <w:r>
        <w:t xml:space="preserve"> Angelo Cardinal Scola (cf. n. 80 supra), p. 24.</w:t>
      </w:r>
    </w:p>
  </w:footnote>
  <w:footnote w:id="94">
    <w:p w:rsidR="00E0141C" w:rsidRDefault="00E0141C">
      <w:pPr>
        <w:pStyle w:val="FootnoteText"/>
      </w:pPr>
      <w:r>
        <w:rPr>
          <w:rStyle w:val="FootnoteReference"/>
        </w:rPr>
        <w:footnoteRef/>
      </w:r>
      <w:r>
        <w:t xml:space="preserve"> </w:t>
      </w:r>
      <w:r w:rsidRPr="00A75273">
        <w:rPr>
          <w:i/>
        </w:rPr>
        <w:t>Ibid</w:t>
      </w:r>
      <w:r>
        <w:t>., p. 10.</w:t>
      </w:r>
    </w:p>
  </w:footnote>
  <w:footnote w:id="95">
    <w:p w:rsidR="00E0141C" w:rsidRDefault="00E0141C">
      <w:pPr>
        <w:pStyle w:val="FootnoteText"/>
      </w:pPr>
      <w:r>
        <w:rPr>
          <w:rStyle w:val="FootnoteReference"/>
        </w:rPr>
        <w:footnoteRef/>
      </w:r>
      <w:r>
        <w:t xml:space="preserve"> </w:t>
      </w:r>
      <w:r w:rsidRPr="00A75273">
        <w:rPr>
          <w:i/>
        </w:rPr>
        <w:t>Ibid</w:t>
      </w:r>
      <w:r>
        <w:t>., p. 12.</w:t>
      </w:r>
    </w:p>
  </w:footnote>
  <w:footnote w:id="96">
    <w:p w:rsidR="00E0141C" w:rsidRDefault="00E0141C">
      <w:pPr>
        <w:pStyle w:val="FootnoteText"/>
      </w:pPr>
      <w:r>
        <w:rPr>
          <w:rStyle w:val="FootnoteReference"/>
        </w:rPr>
        <w:footnoteRef/>
      </w:r>
      <w:r w:rsidRPr="007F1D11">
        <w:rPr>
          <w:i/>
        </w:rPr>
        <w:t xml:space="preserve"> Ibid</w:t>
      </w:r>
      <w:r>
        <w:t>., p. 29.</w:t>
      </w:r>
    </w:p>
  </w:footnote>
  <w:footnote w:id="97">
    <w:p w:rsidR="00E0141C" w:rsidRDefault="00E0141C">
      <w:pPr>
        <w:pStyle w:val="FootnoteText"/>
      </w:pPr>
      <w:r>
        <w:rPr>
          <w:rStyle w:val="FootnoteReference"/>
        </w:rPr>
        <w:footnoteRef/>
      </w:r>
      <w:r>
        <w:t xml:space="preserve"> </w:t>
      </w:r>
      <w:r w:rsidRPr="00A75273">
        <w:rPr>
          <w:i/>
        </w:rPr>
        <w:t>Ibid</w:t>
      </w:r>
      <w:r>
        <w:t>., p. 34.</w:t>
      </w:r>
    </w:p>
  </w:footnote>
  <w:footnote w:id="98">
    <w:p w:rsidR="00E0141C" w:rsidRDefault="00E0141C">
      <w:pPr>
        <w:pStyle w:val="FootnoteText"/>
      </w:pPr>
      <w:r>
        <w:rPr>
          <w:rStyle w:val="FootnoteReference"/>
        </w:rPr>
        <w:footnoteRef/>
      </w:r>
      <w:r w:rsidRPr="00C17D11">
        <w:rPr>
          <w:i/>
        </w:rPr>
        <w:t xml:space="preserve"> Ibid</w:t>
      </w:r>
      <w:r>
        <w:t>., pp. xxiv-xxvi.</w:t>
      </w:r>
    </w:p>
  </w:footnote>
  <w:footnote w:id="99">
    <w:p w:rsidR="00E0141C" w:rsidRDefault="00E0141C">
      <w:pPr>
        <w:pStyle w:val="FootnoteText"/>
      </w:pPr>
      <w:r>
        <w:rPr>
          <w:rStyle w:val="FootnoteReference"/>
        </w:rPr>
        <w:footnoteRef/>
      </w:r>
      <w:r>
        <w:t xml:space="preserve"> </w:t>
      </w:r>
      <w:r w:rsidRPr="00B2624D">
        <w:rPr>
          <w:i/>
        </w:rPr>
        <w:t>Ibid</w:t>
      </w:r>
      <w:r>
        <w:t>., p. 12.</w:t>
      </w:r>
    </w:p>
  </w:footnote>
  <w:footnote w:id="100">
    <w:p w:rsidR="00E0141C" w:rsidRDefault="00E0141C">
      <w:pPr>
        <w:pStyle w:val="FootnoteText"/>
      </w:pPr>
      <w:r>
        <w:rPr>
          <w:rStyle w:val="FootnoteReference"/>
        </w:rPr>
        <w:footnoteRef/>
      </w:r>
      <w:r w:rsidRPr="00C46AF5">
        <w:rPr>
          <w:i/>
        </w:rPr>
        <w:t xml:space="preserve"> Ibid</w:t>
      </w:r>
      <w:r>
        <w:t>., p. 77.</w:t>
      </w:r>
    </w:p>
  </w:footnote>
  <w:footnote w:id="101">
    <w:p w:rsidR="00E0141C" w:rsidRDefault="00E0141C">
      <w:pPr>
        <w:pStyle w:val="FootnoteText"/>
      </w:pPr>
      <w:r>
        <w:rPr>
          <w:rStyle w:val="FootnoteReference"/>
        </w:rPr>
        <w:footnoteRef/>
      </w:r>
      <w:r w:rsidRPr="00C46AF5">
        <w:rPr>
          <w:i/>
        </w:rPr>
        <w:t xml:space="preserve"> Ibid</w:t>
      </w:r>
      <w:r>
        <w:t>., p. 149.</w:t>
      </w:r>
    </w:p>
  </w:footnote>
  <w:footnote w:id="102">
    <w:p w:rsidR="00E0141C" w:rsidRDefault="00E0141C">
      <w:pPr>
        <w:pStyle w:val="FootnoteText"/>
      </w:pPr>
      <w:r>
        <w:rPr>
          <w:rStyle w:val="FootnoteReference"/>
        </w:rPr>
        <w:footnoteRef/>
      </w:r>
      <w:r>
        <w:t xml:space="preserve"> </w:t>
      </w:r>
      <w:r w:rsidRPr="00394A31">
        <w:rPr>
          <w:i/>
        </w:rPr>
        <w:t>Ibid</w:t>
      </w:r>
      <w:r>
        <w:t>., p. 89.</w:t>
      </w:r>
    </w:p>
  </w:footnote>
  <w:footnote w:id="103">
    <w:p w:rsidR="00E0141C" w:rsidRDefault="00E0141C">
      <w:pPr>
        <w:pStyle w:val="FootnoteText"/>
      </w:pPr>
      <w:r>
        <w:rPr>
          <w:rStyle w:val="FootnoteReference"/>
        </w:rPr>
        <w:footnoteRef/>
      </w:r>
      <w:r>
        <w:t xml:space="preserve"> </w:t>
      </w:r>
      <w:r w:rsidRPr="008146CE">
        <w:rPr>
          <w:i/>
        </w:rPr>
        <w:t>Ibid</w:t>
      </w:r>
      <w:r>
        <w:t>., p. 86.</w:t>
      </w:r>
    </w:p>
  </w:footnote>
  <w:footnote w:id="104">
    <w:p w:rsidR="00E0141C" w:rsidRDefault="00E0141C">
      <w:pPr>
        <w:pStyle w:val="FootnoteText"/>
      </w:pPr>
      <w:r>
        <w:rPr>
          <w:rStyle w:val="FootnoteReference"/>
        </w:rPr>
        <w:footnoteRef/>
      </w:r>
      <w:r w:rsidRPr="008146CE">
        <w:rPr>
          <w:i/>
        </w:rPr>
        <w:t xml:space="preserve"> Ibid</w:t>
      </w:r>
      <w:r>
        <w:t>., p. 58</w:t>
      </w:r>
    </w:p>
  </w:footnote>
  <w:footnote w:id="105">
    <w:p w:rsidR="00E0141C" w:rsidRDefault="00E0141C">
      <w:pPr>
        <w:pStyle w:val="FootnoteText"/>
      </w:pPr>
      <w:r>
        <w:rPr>
          <w:rStyle w:val="FootnoteReference"/>
        </w:rPr>
        <w:footnoteRef/>
      </w:r>
      <w:r>
        <w:t xml:space="preserve"> </w:t>
      </w:r>
      <w:r w:rsidRPr="008146CE">
        <w:rPr>
          <w:i/>
        </w:rPr>
        <w:t>Ibid</w:t>
      </w:r>
      <w:r>
        <w:t>., p. 21.</w:t>
      </w:r>
    </w:p>
  </w:footnote>
  <w:footnote w:id="106">
    <w:p w:rsidR="00E0141C" w:rsidRDefault="00E0141C">
      <w:pPr>
        <w:pStyle w:val="FootnoteText"/>
      </w:pPr>
      <w:r>
        <w:rPr>
          <w:rStyle w:val="FootnoteReference"/>
        </w:rPr>
        <w:footnoteRef/>
      </w:r>
      <w:r>
        <w:t xml:space="preserve"> </w:t>
      </w:r>
      <w:r w:rsidRPr="00460C2C">
        <w:rPr>
          <w:i/>
        </w:rPr>
        <w:t>Ibid</w:t>
      </w:r>
      <w:r>
        <w:t>., p. 37.</w:t>
      </w:r>
    </w:p>
  </w:footnote>
  <w:footnote w:id="107">
    <w:p w:rsidR="00E0141C" w:rsidRDefault="00E0141C">
      <w:pPr>
        <w:pStyle w:val="FootnoteText"/>
      </w:pPr>
      <w:r>
        <w:rPr>
          <w:rStyle w:val="FootnoteReference"/>
        </w:rPr>
        <w:footnoteRef/>
      </w:r>
      <w:r>
        <w:t xml:space="preserve"> </w:t>
      </w:r>
      <w:r w:rsidRPr="00391A9A">
        <w:rPr>
          <w:i/>
        </w:rPr>
        <w:t>Ibid</w:t>
      </w:r>
      <w:r>
        <w:t>., p. xxvi.</w:t>
      </w:r>
    </w:p>
  </w:footnote>
  <w:footnote w:id="108">
    <w:p w:rsidR="00E0141C" w:rsidRDefault="00E0141C">
      <w:pPr>
        <w:pStyle w:val="FootnoteText"/>
      </w:pPr>
      <w:r>
        <w:rPr>
          <w:rStyle w:val="FootnoteReference"/>
        </w:rPr>
        <w:footnoteRef/>
      </w:r>
      <w:r>
        <w:t xml:space="preserve"> </w:t>
      </w:r>
      <w:r w:rsidRPr="003936A0">
        <w:rPr>
          <w:i/>
        </w:rPr>
        <w:t>Ibid</w:t>
      </w:r>
      <w:r>
        <w:t xml:space="preserve">., p. 88.  Perhaps it is Scola’s aversion to postmodernism that leads him to miss the </w:t>
      </w:r>
      <w:r w:rsidRPr="003936A0">
        <w:rPr>
          <w:i/>
        </w:rPr>
        <w:t>irony</w:t>
      </w:r>
      <w:r>
        <w:t xml:space="preserve"> of beginning with Barth’s ‘stammering a few words,’ and proceeding to elucidate, with confident clarity, essay after essay.  Barth, I suspect, would be surprised at the effectiveness of speech therapy in overcoming his stammering problem.</w:t>
      </w:r>
    </w:p>
  </w:footnote>
  <w:footnote w:id="109">
    <w:p w:rsidR="00E0141C" w:rsidRDefault="00E0141C">
      <w:pPr>
        <w:pStyle w:val="FootnoteText"/>
      </w:pPr>
      <w:r>
        <w:rPr>
          <w:rStyle w:val="FootnoteReference"/>
        </w:rPr>
        <w:footnoteRef/>
      </w:r>
      <w:r>
        <w:t xml:space="preserve"> </w:t>
      </w:r>
      <w:r w:rsidRPr="002230CB">
        <w:rPr>
          <w:i/>
        </w:rPr>
        <w:t>Ibid</w:t>
      </w:r>
      <w:r>
        <w:t>., p. xxiii.</w:t>
      </w:r>
    </w:p>
  </w:footnote>
  <w:footnote w:id="110">
    <w:p w:rsidR="00E0141C" w:rsidRDefault="00E0141C">
      <w:pPr>
        <w:pStyle w:val="FootnoteText"/>
      </w:pPr>
      <w:r>
        <w:rPr>
          <w:rStyle w:val="FootnoteReference"/>
        </w:rPr>
        <w:footnoteRef/>
      </w:r>
      <w:r>
        <w:t xml:space="preserve"> </w:t>
      </w:r>
      <w:r w:rsidRPr="003D52D2">
        <w:rPr>
          <w:i/>
        </w:rPr>
        <w:t>Ibid</w:t>
      </w:r>
      <w:r>
        <w:t>., pp. 97-98.</w:t>
      </w:r>
    </w:p>
  </w:footnote>
  <w:footnote w:id="111">
    <w:p w:rsidR="00E0141C" w:rsidRDefault="00E0141C">
      <w:pPr>
        <w:pStyle w:val="FootnoteText"/>
      </w:pPr>
      <w:r>
        <w:rPr>
          <w:rStyle w:val="FootnoteReference"/>
        </w:rPr>
        <w:footnoteRef/>
      </w:r>
      <w:r>
        <w:t xml:space="preserve"> </w:t>
      </w:r>
      <w:r w:rsidRPr="00777BEC">
        <w:rPr>
          <w:i/>
        </w:rPr>
        <w:t>Ibid</w:t>
      </w:r>
      <w:r>
        <w:t>., p. 13.</w:t>
      </w:r>
    </w:p>
  </w:footnote>
  <w:footnote w:id="112">
    <w:p w:rsidR="00E0141C" w:rsidRDefault="00E0141C">
      <w:pPr>
        <w:pStyle w:val="FootnoteText"/>
      </w:pPr>
      <w:r>
        <w:rPr>
          <w:rStyle w:val="FootnoteReference"/>
        </w:rPr>
        <w:footnoteRef/>
      </w:r>
      <w:r>
        <w:t xml:space="preserve"> </w:t>
      </w:r>
      <w:r w:rsidRPr="00912912">
        <w:rPr>
          <w:i/>
        </w:rPr>
        <w:t>Ibid</w:t>
      </w:r>
      <w:r>
        <w:t>., p. 11.  One of the clarifications needed, I suggest, concerns the fact that spousal relations can only occur between differentiated</w:t>
      </w:r>
      <w:r w:rsidRPr="00384B74">
        <w:rPr>
          <w:i/>
        </w:rPr>
        <w:t xml:space="preserve"> persons</w:t>
      </w:r>
      <w:r>
        <w:t xml:space="preserve"> – a fact central to the phenomenological personalism of John Paul – and any hint of differentiated ‘persons’ in Christ should raise a Chalcedonian clamor.  Or is he positing intra-hypostatic auto-eroticism?  This is what happens when categories are hardened (cf. n. 51 </w:t>
      </w:r>
      <w:r w:rsidRPr="00D72D56">
        <w:rPr>
          <w:i/>
        </w:rPr>
        <w:t>supra</w:t>
      </w:r>
      <w:r>
        <w:t>).  There are things you have to say in order for your system to hold together, but you end up, like Art Linkletter’s kids, saying the darnedest things.</w:t>
      </w:r>
    </w:p>
  </w:footnote>
  <w:footnote w:id="113">
    <w:p w:rsidR="00E0141C" w:rsidRDefault="00E0141C">
      <w:pPr>
        <w:pStyle w:val="FootnoteText"/>
      </w:pPr>
      <w:r>
        <w:rPr>
          <w:rStyle w:val="FootnoteReference"/>
        </w:rPr>
        <w:footnoteRef/>
      </w:r>
      <w:r>
        <w:t xml:space="preserve"> </w:t>
      </w:r>
      <w:r w:rsidRPr="00384B74">
        <w:rPr>
          <w:i/>
        </w:rPr>
        <w:t>Ibid</w:t>
      </w:r>
      <w:r>
        <w:t>., p. 79.</w:t>
      </w:r>
    </w:p>
  </w:footnote>
  <w:footnote w:id="114">
    <w:p w:rsidR="00E0141C" w:rsidRDefault="00E0141C">
      <w:pPr>
        <w:pStyle w:val="FootnoteText"/>
      </w:pPr>
      <w:r>
        <w:rPr>
          <w:rStyle w:val="FootnoteReference"/>
        </w:rPr>
        <w:footnoteRef/>
      </w:r>
      <w:r>
        <w:t xml:space="preserve"> </w:t>
      </w:r>
      <w:r w:rsidRPr="00384B74">
        <w:rPr>
          <w:i/>
        </w:rPr>
        <w:t>Ibid</w:t>
      </w:r>
      <w:r>
        <w:t>., p. 34.</w:t>
      </w:r>
    </w:p>
  </w:footnote>
  <w:footnote w:id="115">
    <w:p w:rsidR="00E0141C" w:rsidRDefault="00E0141C">
      <w:pPr>
        <w:pStyle w:val="FootnoteText"/>
      </w:pPr>
      <w:r>
        <w:rPr>
          <w:rStyle w:val="FootnoteReference"/>
        </w:rPr>
        <w:footnoteRef/>
      </w:r>
      <w:r>
        <w:t xml:space="preserve"> </w:t>
      </w:r>
      <w:r w:rsidRPr="00D22882">
        <w:rPr>
          <w:i/>
        </w:rPr>
        <w:t>Ibid</w:t>
      </w:r>
      <w:r>
        <w:t xml:space="preserve">., </w:t>
      </w:r>
      <w:r w:rsidRPr="00D22882">
        <w:rPr>
          <w:i/>
        </w:rPr>
        <w:t>passim</w:t>
      </w:r>
      <w:r>
        <w:t>, but especially pp. 32-52.  My brief mention of this here does not indicate that I have missed the centrality of this ‘innovation’ to Scola’s argument.  I will return to it shortly (pp. 51-52 below), while considering the foundational role of analogy in Catholic speech.</w:t>
      </w:r>
    </w:p>
  </w:footnote>
  <w:footnote w:id="116">
    <w:p w:rsidR="00E0141C" w:rsidRDefault="00E0141C">
      <w:pPr>
        <w:pStyle w:val="FootnoteText"/>
      </w:pPr>
      <w:r>
        <w:rPr>
          <w:rStyle w:val="FootnoteReference"/>
        </w:rPr>
        <w:footnoteRef/>
      </w:r>
      <w:r>
        <w:t xml:space="preserve"> </w:t>
      </w:r>
      <w:r w:rsidRPr="00AA3DA4">
        <w:rPr>
          <w:i/>
        </w:rPr>
        <w:t>Ibid</w:t>
      </w:r>
      <w:r>
        <w:t>., p. 97.</w:t>
      </w:r>
    </w:p>
  </w:footnote>
  <w:footnote w:id="117">
    <w:p w:rsidR="00E0141C" w:rsidRDefault="00E0141C">
      <w:pPr>
        <w:pStyle w:val="FootnoteText"/>
      </w:pPr>
      <w:r>
        <w:rPr>
          <w:rStyle w:val="FootnoteReference"/>
        </w:rPr>
        <w:footnoteRef/>
      </w:r>
      <w:r>
        <w:t xml:space="preserve"> </w:t>
      </w:r>
      <w:r w:rsidRPr="00A22A4E">
        <w:rPr>
          <w:i/>
        </w:rPr>
        <w:t>Ibid</w:t>
      </w:r>
      <w:r>
        <w:t>., p. 15.</w:t>
      </w:r>
    </w:p>
  </w:footnote>
  <w:footnote w:id="118">
    <w:p w:rsidR="00E0141C" w:rsidRDefault="00E0141C">
      <w:pPr>
        <w:pStyle w:val="FootnoteText"/>
      </w:pPr>
      <w:r>
        <w:rPr>
          <w:rStyle w:val="FootnoteReference"/>
        </w:rPr>
        <w:footnoteRef/>
      </w:r>
      <w:r>
        <w:t xml:space="preserve"> </w:t>
      </w:r>
      <w:r w:rsidRPr="00A22A4E">
        <w:rPr>
          <w:i/>
        </w:rPr>
        <w:t>Ibid</w:t>
      </w:r>
      <w:r>
        <w:t>., p. xxiv.</w:t>
      </w:r>
    </w:p>
  </w:footnote>
  <w:footnote w:id="119">
    <w:p w:rsidR="00E0141C" w:rsidRDefault="00E0141C">
      <w:pPr>
        <w:pStyle w:val="FootnoteText"/>
      </w:pPr>
      <w:r>
        <w:rPr>
          <w:rStyle w:val="FootnoteReference"/>
        </w:rPr>
        <w:footnoteRef/>
      </w:r>
      <w:r>
        <w:t xml:space="preserve"> </w:t>
      </w:r>
      <w:r w:rsidRPr="00A22A4E">
        <w:rPr>
          <w:i/>
        </w:rPr>
        <w:t>Ibid</w:t>
      </w:r>
      <w:r>
        <w:t>., p. xxv.</w:t>
      </w:r>
    </w:p>
  </w:footnote>
  <w:footnote w:id="120">
    <w:p w:rsidR="00E0141C" w:rsidRDefault="00E0141C">
      <w:pPr>
        <w:pStyle w:val="FootnoteText"/>
      </w:pPr>
      <w:r>
        <w:rPr>
          <w:rStyle w:val="FootnoteReference"/>
        </w:rPr>
        <w:footnoteRef/>
      </w:r>
      <w:r>
        <w:t xml:space="preserve"> </w:t>
      </w:r>
      <w:r w:rsidRPr="00210081">
        <w:rPr>
          <w:i/>
        </w:rPr>
        <w:t>Ibid</w:t>
      </w:r>
      <w:r>
        <w:t>., p. 169.</w:t>
      </w:r>
    </w:p>
  </w:footnote>
  <w:footnote w:id="121">
    <w:p w:rsidR="00E0141C" w:rsidRDefault="00E0141C">
      <w:pPr>
        <w:pStyle w:val="FootnoteText"/>
      </w:pPr>
      <w:r>
        <w:rPr>
          <w:rStyle w:val="FootnoteReference"/>
        </w:rPr>
        <w:footnoteRef/>
      </w:r>
      <w:r>
        <w:t xml:space="preserve"> </w:t>
      </w:r>
      <w:r w:rsidRPr="00210081">
        <w:rPr>
          <w:i/>
        </w:rPr>
        <w:t>Ibid</w:t>
      </w:r>
      <w:r>
        <w:t>., p. 148.</w:t>
      </w:r>
    </w:p>
  </w:footnote>
  <w:footnote w:id="122">
    <w:p w:rsidR="00E0141C" w:rsidRDefault="00E0141C">
      <w:pPr>
        <w:pStyle w:val="FootnoteText"/>
      </w:pPr>
      <w:r>
        <w:rPr>
          <w:rStyle w:val="FootnoteReference"/>
        </w:rPr>
        <w:footnoteRef/>
      </w:r>
      <w:r w:rsidRPr="004B2026">
        <w:rPr>
          <w:i/>
        </w:rPr>
        <w:t xml:space="preserve"> Ibid</w:t>
      </w:r>
      <w:r>
        <w:t>., p. 9.</w:t>
      </w:r>
    </w:p>
  </w:footnote>
  <w:footnote w:id="123">
    <w:p w:rsidR="00E0141C" w:rsidRDefault="00E0141C">
      <w:pPr>
        <w:pStyle w:val="FootnoteText"/>
      </w:pPr>
      <w:r>
        <w:rPr>
          <w:rStyle w:val="FootnoteReference"/>
        </w:rPr>
        <w:footnoteRef/>
      </w:r>
      <w:r>
        <w:t xml:space="preserve"> </w:t>
      </w:r>
      <w:r w:rsidRPr="004B2026">
        <w:rPr>
          <w:i/>
        </w:rPr>
        <w:t>Ibid</w:t>
      </w:r>
      <w:r>
        <w:t>., p. xxiv.</w:t>
      </w:r>
    </w:p>
  </w:footnote>
  <w:footnote w:id="124">
    <w:p w:rsidR="00E0141C" w:rsidRDefault="00E0141C">
      <w:pPr>
        <w:pStyle w:val="FootnoteText"/>
      </w:pPr>
      <w:r>
        <w:rPr>
          <w:rStyle w:val="FootnoteReference"/>
        </w:rPr>
        <w:footnoteRef/>
      </w:r>
      <w:r>
        <w:t xml:space="preserve"> </w:t>
      </w:r>
      <w:r w:rsidRPr="00401A12">
        <w:rPr>
          <w:i/>
        </w:rPr>
        <w:t>Ibid</w:t>
      </w:r>
      <w:r>
        <w:t>., p. 84.</w:t>
      </w:r>
    </w:p>
  </w:footnote>
  <w:footnote w:id="125">
    <w:p w:rsidR="00E0141C" w:rsidRDefault="00E0141C">
      <w:pPr>
        <w:pStyle w:val="FootnoteText"/>
      </w:pPr>
      <w:r>
        <w:rPr>
          <w:rStyle w:val="FootnoteReference"/>
        </w:rPr>
        <w:footnoteRef/>
      </w:r>
      <w:r>
        <w:t xml:space="preserve"> T.S. Eliot, “Little Gidding,” </w:t>
      </w:r>
      <w:r w:rsidRPr="000721BD">
        <w:rPr>
          <w:i/>
        </w:rPr>
        <w:t>The Four Quartets</w:t>
      </w:r>
      <w:r>
        <w:t xml:space="preserve"> (cf. n. 16 </w:t>
      </w:r>
      <w:r w:rsidRPr="000721BD">
        <w:rPr>
          <w:i/>
        </w:rPr>
        <w:t>supra</w:t>
      </w:r>
      <w:r>
        <w:t>), p. 59.</w:t>
      </w:r>
    </w:p>
  </w:footnote>
  <w:footnote w:id="126">
    <w:p w:rsidR="00E0141C" w:rsidRDefault="00E0141C">
      <w:pPr>
        <w:pStyle w:val="FootnoteText"/>
      </w:pPr>
      <w:r>
        <w:rPr>
          <w:rStyle w:val="FootnoteReference"/>
        </w:rPr>
        <w:footnoteRef/>
      </w:r>
      <w:r>
        <w:t xml:space="preserve"> T.S. Eliot, “East Coker,” </w:t>
      </w:r>
      <w:r w:rsidRPr="00CE21E0">
        <w:rPr>
          <w:i/>
        </w:rPr>
        <w:t>The Four Quartets</w:t>
      </w:r>
      <w:r>
        <w:t xml:space="preserve"> (cf. n. 16</w:t>
      </w:r>
      <w:r w:rsidRPr="00CE21E0">
        <w:rPr>
          <w:i/>
        </w:rPr>
        <w:t xml:space="preserve"> supra</w:t>
      </w:r>
      <w:r>
        <w:t>), p. 31.</w:t>
      </w:r>
    </w:p>
  </w:footnote>
  <w:footnote w:id="127">
    <w:p w:rsidR="00E0141C" w:rsidRDefault="00E0141C">
      <w:pPr>
        <w:pStyle w:val="FootnoteText"/>
      </w:pPr>
      <w:r>
        <w:rPr>
          <w:rStyle w:val="FootnoteReference"/>
        </w:rPr>
        <w:footnoteRef/>
      </w:r>
      <w:r>
        <w:t xml:space="preserve"> Angelo Cardinal Scola (cf. n. 80 </w:t>
      </w:r>
      <w:r w:rsidRPr="00A918D1">
        <w:rPr>
          <w:i/>
        </w:rPr>
        <w:t>supra</w:t>
      </w:r>
      <w:r>
        <w:t>), p. xxiii.</w:t>
      </w:r>
    </w:p>
  </w:footnote>
  <w:footnote w:id="128">
    <w:p w:rsidR="00E0141C" w:rsidRDefault="00E0141C">
      <w:pPr>
        <w:pStyle w:val="FootnoteText"/>
      </w:pPr>
      <w:r>
        <w:rPr>
          <w:rStyle w:val="FootnoteReference"/>
        </w:rPr>
        <w:footnoteRef/>
      </w:r>
      <w:r>
        <w:t xml:space="preserve"> Bob Dylan, “Visions of Johanna” (cf. n. 9 </w:t>
      </w:r>
      <w:r w:rsidRPr="00BE11E3">
        <w:rPr>
          <w:i/>
        </w:rPr>
        <w:t>supra</w:t>
      </w:r>
      <w:r>
        <w:t>), p. 223.</w:t>
      </w:r>
    </w:p>
  </w:footnote>
  <w:footnote w:id="129">
    <w:p w:rsidR="00E0141C" w:rsidRDefault="00E0141C">
      <w:pPr>
        <w:pStyle w:val="FootnoteText"/>
      </w:pPr>
      <w:r>
        <w:rPr>
          <w:rStyle w:val="FootnoteReference"/>
        </w:rPr>
        <w:footnoteRef/>
      </w:r>
      <w:r>
        <w:t xml:space="preserve"> Angelo Cardinal Scola (cf. n. 80 </w:t>
      </w:r>
      <w:r w:rsidRPr="00AB64F0">
        <w:rPr>
          <w:i/>
        </w:rPr>
        <w:t>supra</w:t>
      </w:r>
      <w:r>
        <w:t>), pp. 56, 59-60, 110, 118, 220, 380.  The Freudian references seemed strange at first, but then I understood the commonality:  sex underlies everything for Freud, as does nuptiality for Scola.  Indeed, the Cardinal seems even less inclined to acknowledge that ‘sometimes a cigar is just a cigar!’</w:t>
      </w:r>
    </w:p>
  </w:footnote>
  <w:footnote w:id="130">
    <w:p w:rsidR="00E0141C" w:rsidRDefault="00E0141C">
      <w:pPr>
        <w:pStyle w:val="FootnoteText"/>
      </w:pPr>
      <w:r>
        <w:rPr>
          <w:rStyle w:val="FootnoteReference"/>
        </w:rPr>
        <w:footnoteRef/>
      </w:r>
      <w:r>
        <w:t xml:space="preserve"> </w:t>
      </w:r>
      <w:r w:rsidRPr="00AB64F0">
        <w:rPr>
          <w:i/>
        </w:rPr>
        <w:t>Ibid</w:t>
      </w:r>
      <w:r>
        <w:t>., p. 118.  I will briefly return later (pp. 44-45) to Lévi-Strauss, conjecturing as to why his structuralism appeals to Cardinal Scola, and why it seems problematic to me.</w:t>
      </w:r>
    </w:p>
  </w:footnote>
  <w:footnote w:id="131">
    <w:p w:rsidR="00E0141C" w:rsidRDefault="00E0141C">
      <w:pPr>
        <w:pStyle w:val="FootnoteText"/>
      </w:pPr>
      <w:r>
        <w:rPr>
          <w:rStyle w:val="FootnoteReference"/>
        </w:rPr>
        <w:footnoteRef/>
      </w:r>
      <w:r>
        <w:t xml:space="preserve"> </w:t>
      </w:r>
      <w:r w:rsidRPr="00641547">
        <w:rPr>
          <w:i/>
        </w:rPr>
        <w:t>Ibid</w:t>
      </w:r>
      <w:r>
        <w:t>., p. 15.</w:t>
      </w:r>
    </w:p>
  </w:footnote>
  <w:footnote w:id="132">
    <w:p w:rsidR="00E0141C" w:rsidRDefault="00E0141C">
      <w:pPr>
        <w:pStyle w:val="FootnoteText"/>
      </w:pPr>
      <w:r>
        <w:rPr>
          <w:rStyle w:val="FootnoteReference"/>
        </w:rPr>
        <w:footnoteRef/>
      </w:r>
      <w:r>
        <w:t xml:space="preserve"> </w:t>
      </w:r>
      <w:r w:rsidRPr="00D439C9">
        <w:rPr>
          <w:i/>
        </w:rPr>
        <w:t>Ibid</w:t>
      </w:r>
      <w:r>
        <w:t>., p. 22.</w:t>
      </w:r>
    </w:p>
  </w:footnote>
  <w:footnote w:id="133">
    <w:p w:rsidR="00E0141C" w:rsidRDefault="00E0141C">
      <w:pPr>
        <w:pStyle w:val="FootnoteText"/>
      </w:pPr>
      <w:r>
        <w:rPr>
          <w:rStyle w:val="FootnoteReference"/>
        </w:rPr>
        <w:footnoteRef/>
      </w:r>
      <w:r>
        <w:t xml:space="preserve"> ‘Periodically’ speaking, Cardinal Scola seems to find ‘communion’ only in the pages of </w:t>
      </w:r>
      <w:r w:rsidRPr="002B3348">
        <w:rPr>
          <w:i/>
        </w:rPr>
        <w:t>Communio</w:t>
      </w:r>
      <w:r>
        <w:t>.  The conversation seems enclosed within a quite limited circle – nuptiality, thus, a bit theologically ‘incestuous.’</w:t>
      </w:r>
    </w:p>
  </w:footnote>
  <w:footnote w:id="134">
    <w:p w:rsidR="00E0141C" w:rsidRDefault="00E0141C">
      <w:pPr>
        <w:pStyle w:val="FootnoteText"/>
      </w:pPr>
      <w:r>
        <w:rPr>
          <w:rStyle w:val="FootnoteReference"/>
        </w:rPr>
        <w:footnoteRef/>
      </w:r>
      <w:r>
        <w:t xml:space="preserve"> Angelo Cardinal Scola (cf. n. 80 </w:t>
      </w:r>
      <w:r w:rsidRPr="0095584F">
        <w:rPr>
          <w:i/>
        </w:rPr>
        <w:t>supra</w:t>
      </w:r>
      <w:r>
        <w:t>), pp. 55-81.</w:t>
      </w:r>
    </w:p>
  </w:footnote>
  <w:footnote w:id="135">
    <w:p w:rsidR="00E0141C" w:rsidRDefault="00E0141C">
      <w:pPr>
        <w:pStyle w:val="FootnoteText"/>
      </w:pPr>
      <w:r>
        <w:rPr>
          <w:rStyle w:val="FootnoteReference"/>
        </w:rPr>
        <w:footnoteRef/>
      </w:r>
      <w:r>
        <w:t xml:space="preserve"> </w:t>
      </w:r>
      <w:r w:rsidRPr="000D5196">
        <w:rPr>
          <w:i/>
        </w:rPr>
        <w:t>ST</w:t>
      </w:r>
      <w:r>
        <w:t xml:space="preserve"> I-II, q. 26.</w:t>
      </w:r>
    </w:p>
  </w:footnote>
  <w:footnote w:id="136">
    <w:p w:rsidR="00E0141C" w:rsidRDefault="00E0141C">
      <w:pPr>
        <w:pStyle w:val="FootnoteText"/>
      </w:pPr>
      <w:r>
        <w:rPr>
          <w:rStyle w:val="FootnoteReference"/>
        </w:rPr>
        <w:footnoteRef/>
      </w:r>
      <w:r>
        <w:t xml:space="preserve"> Angelo Cardinal Scola (cf. n. 80 supra), p. 71.</w:t>
      </w:r>
    </w:p>
  </w:footnote>
  <w:footnote w:id="137">
    <w:p w:rsidR="00E0141C" w:rsidRDefault="00E0141C">
      <w:pPr>
        <w:pStyle w:val="FootnoteText"/>
      </w:pPr>
      <w:r>
        <w:rPr>
          <w:rStyle w:val="FootnoteReference"/>
        </w:rPr>
        <w:footnoteRef/>
      </w:r>
      <w:r>
        <w:t xml:space="preserve"> It’s Conan Doyle’s dog that didn’t bark.  And the ‘not barking’ is a </w:t>
      </w:r>
      <w:r w:rsidRPr="0048468D">
        <w:rPr>
          <w:i/>
        </w:rPr>
        <w:t>clue</w:t>
      </w:r>
      <w:r>
        <w:t xml:space="preserve"> that something is wrong.</w:t>
      </w:r>
    </w:p>
  </w:footnote>
  <w:footnote w:id="138">
    <w:p w:rsidR="00E0141C" w:rsidRDefault="00E0141C">
      <w:pPr>
        <w:pStyle w:val="FootnoteText"/>
      </w:pPr>
      <w:r>
        <w:rPr>
          <w:rStyle w:val="FootnoteReference"/>
        </w:rPr>
        <w:footnoteRef/>
      </w:r>
      <w:r>
        <w:t xml:space="preserve"> Angelo Cardinal Scola (cf. n. 80 </w:t>
      </w:r>
      <w:r w:rsidRPr="0008586D">
        <w:rPr>
          <w:i/>
        </w:rPr>
        <w:t>supra</w:t>
      </w:r>
      <w:r>
        <w:t>), p. 7.</w:t>
      </w:r>
    </w:p>
  </w:footnote>
  <w:footnote w:id="139">
    <w:p w:rsidR="00E0141C" w:rsidRDefault="00E0141C">
      <w:pPr>
        <w:pStyle w:val="FootnoteText"/>
      </w:pPr>
      <w:r>
        <w:rPr>
          <w:rStyle w:val="FootnoteReference"/>
        </w:rPr>
        <w:footnoteRef/>
      </w:r>
      <w:r>
        <w:t xml:space="preserve"> I have, though, backpacked in the lovely Ozarks, saw the last-ever matchup of Nolan Ryan pitching to George Brett there, and spent many a lovely visit lingering in the impressionist gallery of Kansas City’s Nelson-Atkins Museum (while saying a prayer or two in the mothballed medieval cloister there).</w:t>
      </w:r>
    </w:p>
  </w:footnote>
  <w:footnote w:id="140">
    <w:p w:rsidR="00E0141C" w:rsidRDefault="00E0141C">
      <w:pPr>
        <w:pStyle w:val="FootnoteText"/>
      </w:pPr>
      <w:r>
        <w:rPr>
          <w:rStyle w:val="FootnoteReference"/>
        </w:rPr>
        <w:footnoteRef/>
      </w:r>
      <w:r>
        <w:rPr>
          <w:i/>
        </w:rPr>
        <w:t xml:space="preserve"> </w:t>
      </w:r>
      <w:r>
        <w:t xml:space="preserve">Angelo Cardinal Scola (cf. n. 80 </w:t>
      </w:r>
      <w:r w:rsidRPr="0008586D">
        <w:rPr>
          <w:i/>
        </w:rPr>
        <w:t>supra</w:t>
      </w:r>
      <w:r>
        <w:t>), p. 145.</w:t>
      </w:r>
    </w:p>
  </w:footnote>
  <w:footnote w:id="141">
    <w:p w:rsidR="00E0141C" w:rsidRDefault="00E0141C">
      <w:pPr>
        <w:pStyle w:val="FootnoteText"/>
      </w:pPr>
      <w:r>
        <w:rPr>
          <w:rStyle w:val="FootnoteReference"/>
        </w:rPr>
        <w:footnoteRef/>
      </w:r>
      <w:r>
        <w:t xml:space="preserve"> </w:t>
      </w:r>
      <w:r w:rsidRPr="00460EC7">
        <w:rPr>
          <w:i/>
        </w:rPr>
        <w:t>Ibid</w:t>
      </w:r>
      <w:r>
        <w:t>., p. 24.</w:t>
      </w:r>
    </w:p>
  </w:footnote>
  <w:footnote w:id="142">
    <w:p w:rsidR="00E0141C" w:rsidRDefault="00E0141C">
      <w:pPr>
        <w:pStyle w:val="FootnoteText"/>
      </w:pPr>
      <w:r>
        <w:rPr>
          <w:rStyle w:val="FootnoteReference"/>
        </w:rPr>
        <w:footnoteRef/>
      </w:r>
      <w:r>
        <w:t xml:space="preserve"> </w:t>
      </w:r>
      <w:r w:rsidRPr="005C7FC5">
        <w:rPr>
          <w:i/>
        </w:rPr>
        <w:t>Ibid</w:t>
      </w:r>
      <w:r>
        <w:t>., p. 59.</w:t>
      </w:r>
    </w:p>
  </w:footnote>
  <w:footnote w:id="143">
    <w:p w:rsidR="00E0141C" w:rsidRDefault="00E0141C">
      <w:pPr>
        <w:pStyle w:val="FootnoteText"/>
      </w:pPr>
      <w:r>
        <w:rPr>
          <w:rStyle w:val="FootnoteReference"/>
        </w:rPr>
        <w:footnoteRef/>
      </w:r>
      <w:r>
        <w:t xml:space="preserve"> </w:t>
      </w:r>
      <w:r w:rsidRPr="009B05ED">
        <w:rPr>
          <w:i/>
        </w:rPr>
        <w:t>Ibid</w:t>
      </w:r>
      <w:r>
        <w:t>., p. 96.</w:t>
      </w:r>
    </w:p>
  </w:footnote>
  <w:footnote w:id="144">
    <w:p w:rsidR="00E0141C" w:rsidRDefault="00E0141C">
      <w:pPr>
        <w:pStyle w:val="FootnoteText"/>
      </w:pPr>
      <w:r>
        <w:rPr>
          <w:rStyle w:val="FootnoteReference"/>
        </w:rPr>
        <w:footnoteRef/>
      </w:r>
      <w:r>
        <w:t xml:space="preserve"> </w:t>
      </w:r>
      <w:r w:rsidRPr="006A65A4">
        <w:rPr>
          <w:i/>
        </w:rPr>
        <w:t>Ibid</w:t>
      </w:r>
      <w:r>
        <w:t>., p. 90.</w:t>
      </w:r>
    </w:p>
  </w:footnote>
  <w:footnote w:id="145">
    <w:p w:rsidR="00E0141C" w:rsidRDefault="00E0141C">
      <w:pPr>
        <w:pStyle w:val="FootnoteText"/>
      </w:pPr>
      <w:r>
        <w:rPr>
          <w:rStyle w:val="FootnoteReference"/>
        </w:rPr>
        <w:footnoteRef/>
      </w:r>
      <w:r>
        <w:t xml:space="preserve"> Bob Dylan, “It’s Alright, Ma (I’m Only Bleeding)” (cf. n. 9 </w:t>
      </w:r>
      <w:r w:rsidRPr="00E56C84">
        <w:rPr>
          <w:i/>
        </w:rPr>
        <w:t>supra</w:t>
      </w:r>
      <w:r>
        <w:t xml:space="preserve">), p. 177.  Here, “Dylan skewers the deadly conformism and lethal hypocrisy of American society.”  Steven Heine, </w:t>
      </w:r>
      <w:r w:rsidRPr="00D64FFC">
        <w:rPr>
          <w:i/>
        </w:rPr>
        <w:t xml:space="preserve">Bargainin’ for Salvation:  Bob Dylan, A Zen Master? </w:t>
      </w:r>
      <w:r>
        <w:t xml:space="preserve">(New York:  Continuum, 2009), p. 124.  Surely, nuptial theologians – Scola, </w:t>
      </w:r>
      <w:r w:rsidRPr="00366194">
        <w:rPr>
          <w:i/>
        </w:rPr>
        <w:t>et al</w:t>
      </w:r>
      <w:r>
        <w:t>. – would resonate with such skewering.  The question is whether they can understand themselves as juicy morsels fit for imminent impalement on the shish-ka-bob of Mystery.  Can you?  Can I?</w:t>
      </w:r>
    </w:p>
  </w:footnote>
  <w:footnote w:id="146">
    <w:p w:rsidR="00E0141C" w:rsidRDefault="00E0141C">
      <w:pPr>
        <w:pStyle w:val="FootnoteText"/>
      </w:pPr>
      <w:r>
        <w:rPr>
          <w:rStyle w:val="FootnoteReference"/>
        </w:rPr>
        <w:footnoteRef/>
      </w:r>
      <w:r>
        <w:t xml:space="preserve"> Angelo Cardinal Scola (cf. n. 80 </w:t>
      </w:r>
      <w:r w:rsidRPr="00B02DD2">
        <w:rPr>
          <w:i/>
        </w:rPr>
        <w:t>supra</w:t>
      </w:r>
      <w:r>
        <w:t>), p. xxiv.</w:t>
      </w:r>
    </w:p>
  </w:footnote>
  <w:footnote w:id="147">
    <w:p w:rsidR="00E0141C" w:rsidRDefault="00E0141C">
      <w:pPr>
        <w:pStyle w:val="FootnoteText"/>
      </w:pPr>
      <w:r>
        <w:rPr>
          <w:rStyle w:val="FootnoteReference"/>
        </w:rPr>
        <w:footnoteRef/>
      </w:r>
      <w:r>
        <w:t xml:space="preserve"> My meager -- and I recognize it to be precisely that -- understanding of this achievement comes from Lonergan, but his insistence that this is the central Thomist achievement seems widely shared.  Lonergan’s fullest elaboration of his interpretation is in </w:t>
      </w:r>
      <w:r w:rsidRPr="00C84BEB">
        <w:rPr>
          <w:i/>
        </w:rPr>
        <w:t>Grace and Freedom:  Operative Grace in the Thought of St. Thomas Aquinas</w:t>
      </w:r>
      <w:r>
        <w:t xml:space="preserve">, Volume 1 of the </w:t>
      </w:r>
      <w:r w:rsidRPr="00C84BEB">
        <w:rPr>
          <w:i/>
        </w:rPr>
        <w:t>Collected Works of Bernard Lonergan</w:t>
      </w:r>
      <w:r>
        <w:t xml:space="preserve">, ed. Frederick E. Crowe and Robert M. Doran (Toronto: University of Toronto Press, 2000), </w:t>
      </w:r>
      <w:r w:rsidRPr="00C84BEB">
        <w:rPr>
          <w:i/>
        </w:rPr>
        <w:t>passim</w:t>
      </w:r>
      <w:r>
        <w:t xml:space="preserve">, but especially pp. 14-20 and 181-191.  He returns to the theorem in </w:t>
      </w:r>
      <w:r w:rsidRPr="00A60681">
        <w:rPr>
          <w:i/>
        </w:rPr>
        <w:t>Insight:  A Study of Human Understanding</w:t>
      </w:r>
      <w:r>
        <w:t xml:space="preserve"> (cf. n. 10 </w:t>
      </w:r>
      <w:r w:rsidRPr="00A60681">
        <w:rPr>
          <w:i/>
        </w:rPr>
        <w:t>supra</w:t>
      </w:r>
      <w:r>
        <w:t xml:space="preserve">), pp. 744-763.  A succinct statement is found in </w:t>
      </w:r>
      <w:r w:rsidRPr="00C84BEB">
        <w:rPr>
          <w:i/>
        </w:rPr>
        <w:t xml:space="preserve">Method in Theology </w:t>
      </w:r>
      <w:r>
        <w:t xml:space="preserve">(cf. n. 10 </w:t>
      </w:r>
      <w:r w:rsidRPr="00F44BAE">
        <w:rPr>
          <w:i/>
        </w:rPr>
        <w:t>supra</w:t>
      </w:r>
      <w:r>
        <w:t xml:space="preserve">), pp. 309-310.  Other interpreters who, in my reading, concur in their insistence that this is the foundational Thomist breakthrough, include:  Marie-Dominique Chenu, O.P., </w:t>
      </w:r>
      <w:r w:rsidRPr="00C84BEB">
        <w:rPr>
          <w:i/>
        </w:rPr>
        <w:t>Aquinas and His Role in Theology</w:t>
      </w:r>
      <w:r>
        <w:t xml:space="preserve">, trans. Paul Philibert (Collegeville:  The Liturgical Press, 2002), pp. 81-100; G.K. Chesterton, </w:t>
      </w:r>
      <w:r w:rsidRPr="00C84BEB">
        <w:rPr>
          <w:i/>
        </w:rPr>
        <w:t>Saint Thomas Aquinas:  The Dumb Ox</w:t>
      </w:r>
      <w:r>
        <w:t xml:space="preserve"> (Garden City NY:  Anchor Books, 1956), pp. 71-96; Frederick C. Copleston, S.J., </w:t>
      </w:r>
      <w:r w:rsidRPr="00C84BEB">
        <w:rPr>
          <w:i/>
        </w:rPr>
        <w:t>Aquinas</w:t>
      </w:r>
      <w:r>
        <w:t xml:space="preserve"> (New York:  Penguin, 1955), pp. 63-69; Fergus Kerr, O.P., </w:t>
      </w:r>
      <w:r w:rsidRPr="00C84BEB">
        <w:rPr>
          <w:i/>
        </w:rPr>
        <w:t>Thomas Aquinas:  A Very Short Introduction</w:t>
      </w:r>
      <w:r>
        <w:t xml:space="preserve"> (Oxford:  Oxford University Press, 2009), pp. 33-38; and Josef Pieper, </w:t>
      </w:r>
      <w:r w:rsidRPr="00C84BEB">
        <w:rPr>
          <w:i/>
        </w:rPr>
        <w:t>The Silence of St. Thomas</w:t>
      </w:r>
      <w:r>
        <w:t xml:space="preserve">, trans. John Murray, S.J., and Daniel O’Connor (South Bend:  St. Augustine’s Press, 1999), pp. 28-38 and 47-56.  For me, the most helpful interpretation of Lonergan’s interpretation has been J. Michael Stebbins, </w:t>
      </w:r>
      <w:r w:rsidRPr="00BC3114">
        <w:rPr>
          <w:i/>
        </w:rPr>
        <w:t xml:space="preserve">The Divine Initiative:  Grace, World-Order, and Human Freedom in the Early Writings of Bernard Lonergan </w:t>
      </w:r>
      <w:r>
        <w:t xml:space="preserve">(Toronto:  University of Toronto Press, 1995), pp. 67-92.  Dom Sebastian Moore, O.S.B., offers a succinct statement in his inimitable style, “Ratzinger’s ‘Nature’ Isn’t Natural,” </w:t>
      </w:r>
      <w:r w:rsidRPr="00C733C4">
        <w:rPr>
          <w:i/>
        </w:rPr>
        <w:t>Commonweal</w:t>
      </w:r>
      <w:r>
        <w:t xml:space="preserve"> (January 26, 1990), pp. 49-52.</w:t>
      </w:r>
    </w:p>
  </w:footnote>
  <w:footnote w:id="148">
    <w:p w:rsidR="00E0141C" w:rsidRDefault="00E0141C">
      <w:pPr>
        <w:pStyle w:val="FootnoteText"/>
      </w:pPr>
      <w:r>
        <w:rPr>
          <w:rStyle w:val="FootnoteReference"/>
        </w:rPr>
        <w:footnoteRef/>
      </w:r>
      <w:r>
        <w:t xml:space="preserve"> Sebastian Moore, O.S.B. (cf. n. 147 </w:t>
      </w:r>
      <w:r w:rsidRPr="00A45C6C">
        <w:rPr>
          <w:i/>
        </w:rPr>
        <w:t>supra</w:t>
      </w:r>
      <w:r>
        <w:t>), p. 50.</w:t>
      </w:r>
    </w:p>
  </w:footnote>
  <w:footnote w:id="149">
    <w:p w:rsidR="00E0141C" w:rsidRPr="005B44DB" w:rsidRDefault="00E0141C">
      <w:pPr>
        <w:pStyle w:val="FootnoteText"/>
      </w:pPr>
      <w:r>
        <w:rPr>
          <w:rStyle w:val="FootnoteReference"/>
        </w:rPr>
        <w:footnoteRef/>
      </w:r>
      <w:r w:rsidRPr="005B44DB">
        <w:t xml:space="preserve"> Rosemary Haughton, </w:t>
      </w:r>
      <w:r w:rsidRPr="005B44DB">
        <w:rPr>
          <w:i/>
        </w:rPr>
        <w:t xml:space="preserve">The Transformation of Man </w:t>
      </w:r>
      <w:r>
        <w:t>(Springfield IL:  Templegate Publishers, 1967, 1980).  The question at hand would be whether her reflections in chapter two (pp. 41-84) on sexual encounter could be fruitfully brought to bear on a same-sex relationship.  I don’t know the answer to that question, but I am quite confident that Haughton herself would insist that it is not only a legitimate question, but an urgent one.</w:t>
      </w:r>
    </w:p>
  </w:footnote>
  <w:footnote w:id="150">
    <w:p w:rsidR="00E0141C" w:rsidRPr="005B44DB" w:rsidRDefault="00E0141C">
      <w:pPr>
        <w:pStyle w:val="FootnoteText"/>
      </w:pPr>
      <w:r>
        <w:rPr>
          <w:rStyle w:val="FootnoteReference"/>
        </w:rPr>
        <w:footnoteRef/>
      </w:r>
      <w:r w:rsidRPr="005B44DB">
        <w:t xml:space="preserve"> Bob Dylan, </w:t>
      </w:r>
      <w:r>
        <w:t>“</w:t>
      </w:r>
      <w:r w:rsidRPr="005B44DB">
        <w:t>Where Are Y</w:t>
      </w:r>
      <w:r>
        <w:t xml:space="preserve">ou Tonight? (Journey Through Dark Heat)” (cf. n. 9 </w:t>
      </w:r>
      <w:r w:rsidRPr="00E6789C">
        <w:rPr>
          <w:i/>
        </w:rPr>
        <w:t>supra</w:t>
      </w:r>
      <w:r>
        <w:t>), p. 413.</w:t>
      </w:r>
    </w:p>
  </w:footnote>
  <w:footnote w:id="151">
    <w:p w:rsidR="00E0141C" w:rsidRPr="005B44DB" w:rsidRDefault="00E0141C">
      <w:pPr>
        <w:pStyle w:val="FootnoteText"/>
        <w:rPr>
          <w:lang w:val="fr-FR"/>
        </w:rPr>
      </w:pPr>
      <w:r>
        <w:rPr>
          <w:rStyle w:val="FootnoteReference"/>
        </w:rPr>
        <w:footnoteRef/>
      </w:r>
      <w:r w:rsidRPr="005B44DB">
        <w:rPr>
          <w:lang w:val="fr-FR"/>
        </w:rPr>
        <w:t xml:space="preserve"> Marie-D</w:t>
      </w:r>
      <w:r>
        <w:rPr>
          <w:lang w:val="fr-FR"/>
        </w:rPr>
        <w:t>ominique Chenu, O.P. (cf. n. 147</w:t>
      </w:r>
      <w:r w:rsidRPr="005B44DB">
        <w:rPr>
          <w:i/>
          <w:lang w:val="fr-FR"/>
        </w:rPr>
        <w:t xml:space="preserve"> supra</w:t>
      </w:r>
      <w:r w:rsidRPr="005B44DB">
        <w:rPr>
          <w:lang w:val="fr-FR"/>
        </w:rPr>
        <w:t>), p. 88.</w:t>
      </w:r>
    </w:p>
  </w:footnote>
  <w:footnote w:id="152">
    <w:p w:rsidR="00E0141C" w:rsidRDefault="00E0141C">
      <w:pPr>
        <w:pStyle w:val="FootnoteText"/>
      </w:pPr>
      <w:r>
        <w:rPr>
          <w:rStyle w:val="FootnoteReference"/>
        </w:rPr>
        <w:footnoteRef/>
      </w:r>
      <w:r>
        <w:t xml:space="preserve"> </w:t>
      </w:r>
      <w:r w:rsidRPr="00452400">
        <w:rPr>
          <w:i/>
        </w:rPr>
        <w:t>Ibid</w:t>
      </w:r>
      <w:r>
        <w:t>., p. 81.</w:t>
      </w:r>
    </w:p>
  </w:footnote>
  <w:footnote w:id="153">
    <w:p w:rsidR="00E0141C" w:rsidRDefault="00E0141C">
      <w:pPr>
        <w:pStyle w:val="FootnoteText"/>
      </w:pPr>
      <w:r>
        <w:rPr>
          <w:rStyle w:val="FootnoteReference"/>
        </w:rPr>
        <w:footnoteRef/>
      </w:r>
      <w:r>
        <w:t xml:space="preserve"> Angelo Cardinal Scola (cf. n. 80 </w:t>
      </w:r>
      <w:r w:rsidRPr="005A53B9">
        <w:rPr>
          <w:i/>
        </w:rPr>
        <w:t>supra</w:t>
      </w:r>
      <w:r>
        <w:t>), p. 10.</w:t>
      </w:r>
    </w:p>
  </w:footnote>
  <w:footnote w:id="154">
    <w:p w:rsidR="00E0141C" w:rsidRPr="00135FE6" w:rsidRDefault="00E0141C">
      <w:pPr>
        <w:pStyle w:val="FootnoteText"/>
      </w:pPr>
      <w:r>
        <w:rPr>
          <w:rStyle w:val="FootnoteReference"/>
        </w:rPr>
        <w:footnoteRef/>
      </w:r>
      <w:r w:rsidRPr="00135FE6">
        <w:t xml:space="preserve"> Sebastian Moore, O.S.B. (cf. n. 147 </w:t>
      </w:r>
      <w:r w:rsidRPr="00135FE6">
        <w:rPr>
          <w:i/>
        </w:rPr>
        <w:t>supra</w:t>
      </w:r>
      <w:r>
        <w:t>), p. 51.  ‘Liberation theology’ as a tautology, not an oxymoron!</w:t>
      </w:r>
    </w:p>
  </w:footnote>
  <w:footnote w:id="155">
    <w:p w:rsidR="00E0141C" w:rsidRPr="00A9359B" w:rsidRDefault="00E0141C">
      <w:pPr>
        <w:pStyle w:val="FootnoteText"/>
      </w:pPr>
      <w:r>
        <w:rPr>
          <w:rStyle w:val="FootnoteReference"/>
        </w:rPr>
        <w:footnoteRef/>
      </w:r>
      <w:r>
        <w:t xml:space="preserve"> Cf. n. 144</w:t>
      </w:r>
      <w:r w:rsidRPr="00A9359B">
        <w:t xml:space="preserve"> </w:t>
      </w:r>
      <w:r w:rsidRPr="00A9359B">
        <w:rPr>
          <w:i/>
        </w:rPr>
        <w:t>supra</w:t>
      </w:r>
      <w:r w:rsidRPr="00A9359B">
        <w:t>.</w:t>
      </w:r>
    </w:p>
  </w:footnote>
  <w:footnote w:id="156">
    <w:p w:rsidR="00E0141C" w:rsidRPr="0048468D" w:rsidRDefault="00E0141C">
      <w:pPr>
        <w:pStyle w:val="FootnoteText"/>
      </w:pPr>
      <w:r>
        <w:rPr>
          <w:rStyle w:val="FootnoteReference"/>
        </w:rPr>
        <w:footnoteRef/>
      </w:r>
      <w:r w:rsidRPr="0048468D">
        <w:t xml:space="preserve"> T.S. Eliot, </w:t>
      </w:r>
      <w:r>
        <w:t xml:space="preserve">“Burnt Norton” (cf. n. 16 </w:t>
      </w:r>
      <w:r w:rsidRPr="0048468D">
        <w:rPr>
          <w:i/>
        </w:rPr>
        <w:t>supra</w:t>
      </w:r>
      <w:r>
        <w:t>), p. 14.</w:t>
      </w:r>
    </w:p>
  </w:footnote>
  <w:footnote w:id="157">
    <w:p w:rsidR="00E0141C" w:rsidRPr="00B16B74" w:rsidRDefault="00E0141C">
      <w:pPr>
        <w:pStyle w:val="FootnoteText"/>
        <w:rPr>
          <w:lang w:val="fr-FR"/>
        </w:rPr>
      </w:pPr>
      <w:r>
        <w:rPr>
          <w:rStyle w:val="FootnoteReference"/>
        </w:rPr>
        <w:footnoteRef/>
      </w:r>
      <w:r w:rsidRPr="00B16B74">
        <w:rPr>
          <w:lang w:val="fr-FR"/>
        </w:rPr>
        <w:t xml:space="preserve"> Marie-Dominique Chenu, O.P</w:t>
      </w:r>
      <w:r>
        <w:rPr>
          <w:lang w:val="fr-FR"/>
        </w:rPr>
        <w:t xml:space="preserve">. (cf. n. 147 </w:t>
      </w:r>
      <w:r w:rsidRPr="00B16B74">
        <w:rPr>
          <w:i/>
          <w:lang w:val="fr-FR"/>
        </w:rPr>
        <w:t>supra</w:t>
      </w:r>
      <w:r>
        <w:rPr>
          <w:lang w:val="fr-FR"/>
        </w:rPr>
        <w:t>), p. 90.</w:t>
      </w:r>
    </w:p>
  </w:footnote>
  <w:footnote w:id="158">
    <w:p w:rsidR="00E0141C" w:rsidRDefault="00E0141C">
      <w:pPr>
        <w:pStyle w:val="FootnoteText"/>
      </w:pPr>
      <w:r>
        <w:rPr>
          <w:rStyle w:val="FootnoteReference"/>
        </w:rPr>
        <w:footnoteRef/>
      </w:r>
      <w:r>
        <w:t xml:space="preserve"> </w:t>
      </w:r>
      <w:r w:rsidRPr="007F29A6">
        <w:rPr>
          <w:i/>
        </w:rPr>
        <w:t>Ibid</w:t>
      </w:r>
      <w:r>
        <w:t>., p. 82.</w:t>
      </w:r>
    </w:p>
  </w:footnote>
  <w:footnote w:id="159">
    <w:p w:rsidR="00E0141C" w:rsidRDefault="00E0141C">
      <w:pPr>
        <w:pStyle w:val="FootnoteText"/>
      </w:pPr>
      <w:r>
        <w:rPr>
          <w:rStyle w:val="FootnoteReference"/>
        </w:rPr>
        <w:footnoteRef/>
      </w:r>
      <w:r>
        <w:t xml:space="preserve"> </w:t>
      </w:r>
      <w:r w:rsidRPr="007F29A6">
        <w:rPr>
          <w:i/>
        </w:rPr>
        <w:t>Ibid</w:t>
      </w:r>
      <w:r>
        <w:t>., p. 86.</w:t>
      </w:r>
    </w:p>
  </w:footnote>
  <w:footnote w:id="160">
    <w:p w:rsidR="00E0141C" w:rsidRDefault="00E0141C">
      <w:pPr>
        <w:pStyle w:val="FootnoteText"/>
      </w:pPr>
      <w:r>
        <w:rPr>
          <w:rStyle w:val="FootnoteReference"/>
        </w:rPr>
        <w:footnoteRef/>
      </w:r>
      <w:r>
        <w:t xml:space="preserve"> </w:t>
      </w:r>
      <w:r w:rsidRPr="00096368">
        <w:rPr>
          <w:i/>
        </w:rPr>
        <w:t>Ibid</w:t>
      </w:r>
      <w:r>
        <w:t>., p. 87.</w:t>
      </w:r>
    </w:p>
  </w:footnote>
  <w:footnote w:id="161">
    <w:p w:rsidR="00E0141C" w:rsidRDefault="00E0141C">
      <w:pPr>
        <w:pStyle w:val="FootnoteText"/>
      </w:pPr>
      <w:r>
        <w:rPr>
          <w:rStyle w:val="FootnoteReference"/>
        </w:rPr>
        <w:footnoteRef/>
      </w:r>
      <w:r>
        <w:t xml:space="preserve"> </w:t>
      </w:r>
      <w:r w:rsidRPr="00CF7CF4">
        <w:rPr>
          <w:i/>
        </w:rPr>
        <w:t>Ibid</w:t>
      </w:r>
      <w:r>
        <w:t>., p. 89.</w:t>
      </w:r>
    </w:p>
  </w:footnote>
  <w:footnote w:id="162">
    <w:p w:rsidR="00E0141C" w:rsidRPr="007B6BCF" w:rsidRDefault="00E0141C">
      <w:pPr>
        <w:pStyle w:val="FootnoteText"/>
        <w:rPr>
          <w:i/>
        </w:rPr>
      </w:pPr>
      <w:r>
        <w:rPr>
          <w:rStyle w:val="FootnoteReference"/>
        </w:rPr>
        <w:footnoteRef/>
      </w:r>
      <w:r w:rsidRPr="007B6BCF">
        <w:rPr>
          <w:i/>
        </w:rPr>
        <w:t xml:space="preserve"> Ibid</w:t>
      </w:r>
      <w:r w:rsidRPr="00665D2A">
        <w:t>., p. 100.</w:t>
      </w:r>
    </w:p>
  </w:footnote>
  <w:footnote w:id="163">
    <w:p w:rsidR="00E0141C" w:rsidRDefault="00E0141C">
      <w:pPr>
        <w:pStyle w:val="FootnoteText"/>
      </w:pPr>
      <w:r>
        <w:rPr>
          <w:rStyle w:val="FootnoteReference"/>
        </w:rPr>
        <w:footnoteRef/>
      </w:r>
      <w:r>
        <w:t xml:space="preserve"> </w:t>
      </w:r>
      <w:r w:rsidRPr="002247D6">
        <w:rPr>
          <w:i/>
        </w:rPr>
        <w:t>Ibid</w:t>
      </w:r>
      <w:r>
        <w:t>., p. 93.</w:t>
      </w:r>
    </w:p>
  </w:footnote>
  <w:footnote w:id="164">
    <w:p w:rsidR="00E0141C" w:rsidRDefault="00E0141C">
      <w:pPr>
        <w:pStyle w:val="FootnoteText"/>
      </w:pPr>
      <w:r>
        <w:rPr>
          <w:rStyle w:val="FootnoteReference"/>
        </w:rPr>
        <w:footnoteRef/>
      </w:r>
      <w:r>
        <w:t xml:space="preserve"> </w:t>
      </w:r>
      <w:r w:rsidRPr="00857805">
        <w:rPr>
          <w:i/>
        </w:rPr>
        <w:t>Ibid</w:t>
      </w:r>
      <w:r>
        <w:t>., p. 81.</w:t>
      </w:r>
    </w:p>
  </w:footnote>
  <w:footnote w:id="165">
    <w:p w:rsidR="00E0141C" w:rsidRDefault="00E0141C">
      <w:pPr>
        <w:pStyle w:val="FootnoteText"/>
      </w:pPr>
      <w:r>
        <w:rPr>
          <w:rStyle w:val="FootnoteReference"/>
        </w:rPr>
        <w:footnoteRef/>
      </w:r>
      <w:r>
        <w:t xml:space="preserve"> </w:t>
      </w:r>
      <w:r w:rsidRPr="00E36142">
        <w:rPr>
          <w:i/>
        </w:rPr>
        <w:t>Ibid</w:t>
      </w:r>
      <w:r>
        <w:t>., p. 90.</w:t>
      </w:r>
    </w:p>
  </w:footnote>
  <w:footnote w:id="166">
    <w:p w:rsidR="00E0141C" w:rsidRDefault="00E0141C">
      <w:pPr>
        <w:pStyle w:val="FootnoteText"/>
      </w:pPr>
      <w:r>
        <w:rPr>
          <w:rStyle w:val="FootnoteReference"/>
        </w:rPr>
        <w:footnoteRef/>
      </w:r>
      <w:r>
        <w:t xml:space="preserve"> </w:t>
      </w:r>
      <w:r w:rsidRPr="008752D8">
        <w:rPr>
          <w:i/>
        </w:rPr>
        <w:t>Ibid</w:t>
      </w:r>
      <w:r>
        <w:t>., p. 94.</w:t>
      </w:r>
    </w:p>
  </w:footnote>
  <w:footnote w:id="167">
    <w:p w:rsidR="00E0141C" w:rsidRDefault="00E0141C">
      <w:pPr>
        <w:pStyle w:val="FootnoteText"/>
      </w:pPr>
      <w:r>
        <w:rPr>
          <w:rStyle w:val="FootnoteReference"/>
        </w:rPr>
        <w:footnoteRef/>
      </w:r>
      <w:r>
        <w:t xml:space="preserve"> </w:t>
      </w:r>
      <w:r w:rsidRPr="008752D8">
        <w:rPr>
          <w:i/>
        </w:rPr>
        <w:t>Ibid</w:t>
      </w:r>
      <w:r>
        <w:t>., p. 93.</w:t>
      </w:r>
    </w:p>
  </w:footnote>
  <w:footnote w:id="168">
    <w:p w:rsidR="00E0141C" w:rsidRDefault="00E0141C">
      <w:pPr>
        <w:pStyle w:val="FootnoteText"/>
      </w:pPr>
      <w:r>
        <w:rPr>
          <w:rStyle w:val="FootnoteReference"/>
        </w:rPr>
        <w:footnoteRef/>
      </w:r>
      <w:r>
        <w:t xml:space="preserve"> </w:t>
      </w:r>
      <w:r w:rsidRPr="00815018">
        <w:rPr>
          <w:i/>
        </w:rPr>
        <w:t>Ibid</w:t>
      </w:r>
      <w:r>
        <w:t>., p. 90.</w:t>
      </w:r>
    </w:p>
  </w:footnote>
  <w:footnote w:id="169">
    <w:p w:rsidR="00E0141C" w:rsidRDefault="00E0141C">
      <w:pPr>
        <w:pStyle w:val="FootnoteText"/>
      </w:pPr>
      <w:r>
        <w:rPr>
          <w:rStyle w:val="FootnoteReference"/>
        </w:rPr>
        <w:footnoteRef/>
      </w:r>
      <w:r>
        <w:t xml:space="preserve"> </w:t>
      </w:r>
      <w:r w:rsidRPr="00082BA4">
        <w:rPr>
          <w:i/>
        </w:rPr>
        <w:t>Ibid</w:t>
      </w:r>
      <w:r>
        <w:t>., p. 94.</w:t>
      </w:r>
    </w:p>
  </w:footnote>
  <w:footnote w:id="170">
    <w:p w:rsidR="00E0141C" w:rsidRDefault="00E0141C">
      <w:pPr>
        <w:pStyle w:val="FootnoteText"/>
      </w:pPr>
      <w:r>
        <w:rPr>
          <w:rStyle w:val="FootnoteReference"/>
        </w:rPr>
        <w:footnoteRef/>
      </w:r>
      <w:r>
        <w:t xml:space="preserve"> </w:t>
      </w:r>
      <w:r w:rsidRPr="00082BA4">
        <w:rPr>
          <w:i/>
        </w:rPr>
        <w:t>Ibid</w:t>
      </w:r>
      <w:r>
        <w:t>., p. 92.</w:t>
      </w:r>
    </w:p>
  </w:footnote>
  <w:footnote w:id="171">
    <w:p w:rsidR="00E0141C" w:rsidRDefault="00E0141C">
      <w:pPr>
        <w:pStyle w:val="FootnoteText"/>
      </w:pPr>
      <w:r>
        <w:rPr>
          <w:rStyle w:val="FootnoteReference"/>
        </w:rPr>
        <w:footnoteRef/>
      </w:r>
      <w:r>
        <w:t xml:space="preserve"> </w:t>
      </w:r>
      <w:r w:rsidRPr="008A6CA4">
        <w:rPr>
          <w:i/>
        </w:rPr>
        <w:t>Ibid</w:t>
      </w:r>
      <w:r>
        <w:t>., p. 93.</w:t>
      </w:r>
    </w:p>
  </w:footnote>
  <w:footnote w:id="172">
    <w:p w:rsidR="00E0141C" w:rsidRDefault="00E0141C">
      <w:pPr>
        <w:pStyle w:val="FootnoteText"/>
      </w:pPr>
      <w:r>
        <w:rPr>
          <w:rStyle w:val="FootnoteReference"/>
        </w:rPr>
        <w:footnoteRef/>
      </w:r>
      <w:r>
        <w:t xml:space="preserve"> </w:t>
      </w:r>
      <w:r w:rsidRPr="003A6BB0">
        <w:rPr>
          <w:i/>
        </w:rPr>
        <w:t>Ibid</w:t>
      </w:r>
      <w:r>
        <w:t>., p. 95.</w:t>
      </w:r>
    </w:p>
  </w:footnote>
  <w:footnote w:id="173">
    <w:p w:rsidR="00E0141C" w:rsidRDefault="00E0141C">
      <w:pPr>
        <w:pStyle w:val="FootnoteText"/>
      </w:pPr>
      <w:r>
        <w:rPr>
          <w:rStyle w:val="FootnoteReference"/>
        </w:rPr>
        <w:footnoteRef/>
      </w:r>
      <w:r>
        <w:t xml:space="preserve"> </w:t>
      </w:r>
      <w:r w:rsidRPr="00CA0D13">
        <w:rPr>
          <w:i/>
        </w:rPr>
        <w:t>Ibid</w:t>
      </w:r>
      <w:r>
        <w:t>., p. 97.</w:t>
      </w:r>
    </w:p>
  </w:footnote>
  <w:footnote w:id="174">
    <w:p w:rsidR="00E0141C" w:rsidRDefault="00E0141C">
      <w:pPr>
        <w:pStyle w:val="FootnoteText"/>
      </w:pPr>
      <w:r>
        <w:rPr>
          <w:rStyle w:val="FootnoteReference"/>
        </w:rPr>
        <w:footnoteRef/>
      </w:r>
      <w:r>
        <w:t xml:space="preserve"> Cf. n. 72 </w:t>
      </w:r>
      <w:r w:rsidRPr="00917A4C">
        <w:rPr>
          <w:i/>
        </w:rPr>
        <w:t>supra</w:t>
      </w:r>
      <w:r>
        <w:t>.</w:t>
      </w:r>
    </w:p>
  </w:footnote>
  <w:footnote w:id="175">
    <w:p w:rsidR="00E0141C" w:rsidRDefault="00E0141C">
      <w:pPr>
        <w:pStyle w:val="FootnoteText"/>
      </w:pPr>
      <w:r>
        <w:rPr>
          <w:rStyle w:val="FootnoteReference"/>
        </w:rPr>
        <w:footnoteRef/>
      </w:r>
      <w:r>
        <w:t xml:space="preserve"> Cf. n. 171</w:t>
      </w:r>
      <w:r w:rsidRPr="00073461">
        <w:rPr>
          <w:i/>
        </w:rPr>
        <w:t xml:space="preserve"> supra</w:t>
      </w:r>
      <w:r>
        <w:t>.</w:t>
      </w:r>
    </w:p>
  </w:footnote>
  <w:footnote w:id="176">
    <w:p w:rsidR="00E0141C" w:rsidRDefault="00E0141C">
      <w:pPr>
        <w:pStyle w:val="FootnoteText"/>
      </w:pPr>
      <w:r>
        <w:rPr>
          <w:rStyle w:val="FootnoteReference"/>
        </w:rPr>
        <w:footnoteRef/>
      </w:r>
      <w:r>
        <w:t xml:space="preserve"> </w:t>
      </w:r>
      <w:r w:rsidRPr="003B67E7">
        <w:rPr>
          <w:i/>
        </w:rPr>
        <w:t>ST</w:t>
      </w:r>
      <w:r>
        <w:t xml:space="preserve"> I-II, q. 94, a. 3, </w:t>
      </w:r>
      <w:r w:rsidRPr="00276AFF">
        <w:rPr>
          <w:i/>
        </w:rPr>
        <w:t>ad</w:t>
      </w:r>
      <w:r>
        <w:t xml:space="preserve"> 3.</w:t>
      </w:r>
    </w:p>
  </w:footnote>
  <w:footnote w:id="177">
    <w:p w:rsidR="00E0141C" w:rsidRDefault="00E0141C">
      <w:pPr>
        <w:pStyle w:val="FootnoteText"/>
      </w:pPr>
      <w:r>
        <w:rPr>
          <w:rStyle w:val="FootnoteReference"/>
        </w:rPr>
        <w:footnoteRef/>
      </w:r>
      <w:r>
        <w:t xml:space="preserve"> </w:t>
      </w:r>
      <w:r w:rsidRPr="003B67E7">
        <w:rPr>
          <w:i/>
        </w:rPr>
        <w:t>ST</w:t>
      </w:r>
      <w:r w:rsidR="00590D31">
        <w:t xml:space="preserve"> I-II, q. 31</w:t>
      </w:r>
      <w:r w:rsidR="000179B7">
        <w:t xml:space="preserve">, a. 7, </w:t>
      </w:r>
      <w:r w:rsidR="000179B7" w:rsidRPr="000179B7">
        <w:rPr>
          <w:i/>
        </w:rPr>
        <w:t>Responsio</w:t>
      </w:r>
      <w:r w:rsidR="000179B7">
        <w:t>.</w:t>
      </w:r>
    </w:p>
  </w:footnote>
  <w:footnote w:id="178">
    <w:p w:rsidR="00E0141C" w:rsidRDefault="00E0141C">
      <w:pPr>
        <w:pStyle w:val="FootnoteText"/>
      </w:pPr>
      <w:r>
        <w:rPr>
          <w:rStyle w:val="FootnoteReference"/>
        </w:rPr>
        <w:footnoteRef/>
      </w:r>
      <w:r>
        <w:t xml:space="preserve"> Arthur Koestler, </w:t>
      </w:r>
      <w:r w:rsidRPr="000867BE">
        <w:rPr>
          <w:i/>
        </w:rPr>
        <w:t>Darkness at Noon</w:t>
      </w:r>
      <w:r>
        <w:t xml:space="preserve"> (New York:  Macmillan, 1941), p. 262.</w:t>
      </w:r>
    </w:p>
  </w:footnote>
  <w:footnote w:id="179">
    <w:p w:rsidR="00E0141C" w:rsidRDefault="00E0141C">
      <w:pPr>
        <w:pStyle w:val="FootnoteText"/>
      </w:pPr>
      <w:r>
        <w:rPr>
          <w:rStyle w:val="FootnoteReference"/>
        </w:rPr>
        <w:footnoteRef/>
      </w:r>
      <w:r w:rsidR="00D46038">
        <w:t xml:space="preserve"> Josef Pieper </w:t>
      </w:r>
      <w:r>
        <w:t xml:space="preserve">(cf. n. 147 </w:t>
      </w:r>
      <w:r w:rsidRPr="009337A9">
        <w:rPr>
          <w:i/>
        </w:rPr>
        <w:t>supra</w:t>
      </w:r>
      <w:r>
        <w:t>), p. 30.</w:t>
      </w:r>
    </w:p>
  </w:footnote>
  <w:footnote w:id="180">
    <w:p w:rsidR="00E0141C" w:rsidRDefault="00E0141C">
      <w:pPr>
        <w:pStyle w:val="FootnoteText"/>
      </w:pPr>
      <w:r>
        <w:rPr>
          <w:rStyle w:val="FootnoteReference"/>
        </w:rPr>
        <w:footnoteRef/>
      </w:r>
      <w:r>
        <w:t xml:space="preserve"> </w:t>
      </w:r>
      <w:r w:rsidRPr="00C47172">
        <w:rPr>
          <w:i/>
        </w:rPr>
        <w:t>Ibid</w:t>
      </w:r>
      <w:r>
        <w:t>., p. 33.</w:t>
      </w:r>
    </w:p>
  </w:footnote>
  <w:footnote w:id="181">
    <w:p w:rsidR="00E0141C" w:rsidRDefault="00E0141C">
      <w:pPr>
        <w:pStyle w:val="FootnoteText"/>
      </w:pPr>
      <w:r>
        <w:rPr>
          <w:rStyle w:val="FootnoteReference"/>
        </w:rPr>
        <w:footnoteRef/>
      </w:r>
      <w:r>
        <w:t xml:space="preserve"> </w:t>
      </w:r>
      <w:r w:rsidRPr="00694491">
        <w:rPr>
          <w:i/>
        </w:rPr>
        <w:t>Ibid</w:t>
      </w:r>
      <w:r>
        <w:t>., p. 30.</w:t>
      </w:r>
    </w:p>
  </w:footnote>
  <w:footnote w:id="182">
    <w:p w:rsidR="00E0141C" w:rsidRDefault="00E0141C">
      <w:pPr>
        <w:pStyle w:val="FootnoteText"/>
      </w:pPr>
      <w:r>
        <w:rPr>
          <w:rStyle w:val="FootnoteReference"/>
        </w:rPr>
        <w:footnoteRef/>
      </w:r>
      <w:r>
        <w:t xml:space="preserve"> </w:t>
      </w:r>
      <w:r w:rsidRPr="00CA44E7">
        <w:rPr>
          <w:i/>
        </w:rPr>
        <w:t>ST</w:t>
      </w:r>
      <w:r>
        <w:t xml:space="preserve"> I, q. 3, Prologue.</w:t>
      </w:r>
    </w:p>
  </w:footnote>
  <w:footnote w:id="183">
    <w:p w:rsidR="00E0141C" w:rsidRPr="008F49C5" w:rsidRDefault="00E0141C">
      <w:pPr>
        <w:pStyle w:val="FootnoteText"/>
        <w:rPr>
          <w:lang w:val="fr-FR"/>
        </w:rPr>
      </w:pPr>
      <w:r>
        <w:rPr>
          <w:rStyle w:val="FootnoteReference"/>
        </w:rPr>
        <w:footnoteRef/>
      </w:r>
      <w:r w:rsidRPr="008F49C5">
        <w:rPr>
          <w:lang w:val="fr-FR"/>
        </w:rPr>
        <w:t xml:space="preserve"> </w:t>
      </w:r>
      <w:r w:rsidRPr="008F49C5">
        <w:rPr>
          <w:i/>
          <w:lang w:val="fr-FR"/>
        </w:rPr>
        <w:t>Quaestiones Disputatae de Potentia Dei</w:t>
      </w:r>
      <w:r w:rsidRPr="008F49C5">
        <w:rPr>
          <w:lang w:val="fr-FR"/>
        </w:rPr>
        <w:t xml:space="preserve">, q. 7, a. 5, </w:t>
      </w:r>
      <w:r w:rsidRPr="00276AFF">
        <w:rPr>
          <w:i/>
          <w:lang w:val="fr-FR"/>
        </w:rPr>
        <w:t>ad</w:t>
      </w:r>
      <w:r w:rsidRPr="008F49C5">
        <w:rPr>
          <w:lang w:val="fr-FR"/>
        </w:rPr>
        <w:t xml:space="preserve"> 14.</w:t>
      </w:r>
    </w:p>
  </w:footnote>
  <w:footnote w:id="184">
    <w:p w:rsidR="00E0141C" w:rsidRPr="006D2A65" w:rsidRDefault="00E0141C">
      <w:pPr>
        <w:pStyle w:val="FootnoteText"/>
      </w:pPr>
      <w:r>
        <w:rPr>
          <w:rStyle w:val="FootnoteReference"/>
        </w:rPr>
        <w:footnoteRef/>
      </w:r>
      <w:r w:rsidRPr="006D2A65">
        <w:t xml:space="preserve"> E.g., </w:t>
      </w:r>
      <w:r>
        <w:t xml:space="preserve">Job 11.7; Jer 32.18 ff.; John 1.18; Rom 11.33; 1 Cor 9.24; Eph 3.1-20; </w:t>
      </w:r>
      <w:r w:rsidRPr="006D2A65">
        <w:t>Phi</w:t>
      </w:r>
      <w:r>
        <w:t xml:space="preserve">l 3.12; 1 Tim 6.15-16.  Karl Rahner, S.J., “Thomas Aquinas on the Incomprehensibility of God,” </w:t>
      </w:r>
      <w:r w:rsidRPr="006D2A65">
        <w:rPr>
          <w:i/>
        </w:rPr>
        <w:t>Celebrating the Medieval Heritage:  A Colloquy on the Thought of Aquinas and Bonaventure</w:t>
      </w:r>
      <w:r>
        <w:t xml:space="preserve">, Supplement to </w:t>
      </w:r>
      <w:r w:rsidRPr="006D2A65">
        <w:rPr>
          <w:i/>
        </w:rPr>
        <w:t xml:space="preserve">The Journal of Religion </w:t>
      </w:r>
      <w:r>
        <w:t>58 (1978), ed. David Tracy (Chicago:  University of Chicago Press, 1978), p. 108.</w:t>
      </w:r>
    </w:p>
  </w:footnote>
  <w:footnote w:id="185">
    <w:p w:rsidR="00E0141C" w:rsidRDefault="00E0141C">
      <w:pPr>
        <w:pStyle w:val="FootnoteText"/>
      </w:pPr>
      <w:r>
        <w:rPr>
          <w:rStyle w:val="FootnoteReference"/>
        </w:rPr>
        <w:footnoteRef/>
      </w:r>
      <w:r>
        <w:t xml:space="preserve"> </w:t>
      </w:r>
      <w:r w:rsidRPr="00C50D0D">
        <w:rPr>
          <w:i/>
        </w:rPr>
        <w:t>Ibid</w:t>
      </w:r>
      <w:r>
        <w:t>., p. 114.</w:t>
      </w:r>
    </w:p>
  </w:footnote>
  <w:footnote w:id="186">
    <w:p w:rsidR="00E0141C" w:rsidRPr="00A732F2" w:rsidRDefault="00E0141C">
      <w:pPr>
        <w:pStyle w:val="FootnoteText"/>
      </w:pPr>
      <w:r>
        <w:rPr>
          <w:rStyle w:val="FootnoteReference"/>
        </w:rPr>
        <w:footnoteRef/>
      </w:r>
      <w:r w:rsidRPr="00A732F2">
        <w:t xml:space="preserve"> Daniel Berrigan, S.J., </w:t>
      </w:r>
      <w:r w:rsidRPr="00A732F2">
        <w:rPr>
          <w:i/>
        </w:rPr>
        <w:t>The Dark Night of Resistance</w:t>
      </w:r>
      <w:r>
        <w:t xml:space="preserve"> (New York:  Doubleday &amp; Company, Inc., 1971).</w:t>
      </w:r>
    </w:p>
  </w:footnote>
  <w:footnote w:id="187">
    <w:p w:rsidR="00E0141C" w:rsidRDefault="00E0141C">
      <w:pPr>
        <w:pStyle w:val="FootnoteText"/>
      </w:pPr>
      <w:r>
        <w:rPr>
          <w:rStyle w:val="FootnoteReference"/>
        </w:rPr>
        <w:footnoteRef/>
      </w:r>
      <w:r>
        <w:t xml:space="preserve"> Josef Pieper (cf. n. 147 </w:t>
      </w:r>
      <w:r w:rsidRPr="0007121B">
        <w:rPr>
          <w:i/>
        </w:rPr>
        <w:t>supra</w:t>
      </w:r>
      <w:r>
        <w:t>), p. 37.  Though I suspect he had heard an incomprehensible homily or two!</w:t>
      </w:r>
    </w:p>
  </w:footnote>
  <w:footnote w:id="188">
    <w:p w:rsidR="00E0141C" w:rsidRDefault="00E0141C">
      <w:pPr>
        <w:pStyle w:val="FootnoteText"/>
      </w:pPr>
      <w:r>
        <w:rPr>
          <w:rStyle w:val="FootnoteReference"/>
        </w:rPr>
        <w:footnoteRef/>
      </w:r>
      <w:r>
        <w:t xml:space="preserve"> Albert Camus, </w:t>
      </w:r>
      <w:r w:rsidRPr="00DC53F4">
        <w:rPr>
          <w:i/>
        </w:rPr>
        <w:t>The Plague</w:t>
      </w:r>
      <w:r>
        <w:t xml:space="preserve"> (New York:  Random House, 1948), p. 35.</w:t>
      </w:r>
    </w:p>
  </w:footnote>
  <w:footnote w:id="189">
    <w:p w:rsidR="00E0141C" w:rsidRDefault="00E0141C">
      <w:pPr>
        <w:pStyle w:val="FootnoteText"/>
      </w:pPr>
      <w:r>
        <w:rPr>
          <w:rStyle w:val="FootnoteReference"/>
        </w:rPr>
        <w:footnoteRef/>
      </w:r>
      <w:r>
        <w:t xml:space="preserve"> Daniel Berrigan, S.J., </w:t>
      </w:r>
      <w:r w:rsidRPr="005A65C9">
        <w:rPr>
          <w:i/>
        </w:rPr>
        <w:t>Love, Love at the End:  Parables, Prayers and Meditations</w:t>
      </w:r>
      <w:r>
        <w:t xml:space="preserve"> (New York:  Macmillan, 1968).</w:t>
      </w:r>
    </w:p>
  </w:footnote>
  <w:footnote w:id="190">
    <w:p w:rsidR="00E0141C" w:rsidRDefault="00E0141C">
      <w:pPr>
        <w:pStyle w:val="FootnoteText"/>
      </w:pPr>
      <w:r>
        <w:rPr>
          <w:rStyle w:val="FootnoteReference"/>
        </w:rPr>
        <w:footnoteRef/>
      </w:r>
      <w:r>
        <w:t xml:space="preserve"> Daniel Berrigan, S.J., “A Camus Glossary,” </w:t>
      </w:r>
      <w:r w:rsidRPr="00B94C48">
        <w:rPr>
          <w:i/>
        </w:rPr>
        <w:t>No Bars to Manhood</w:t>
      </w:r>
      <w:r>
        <w:t xml:space="preserve"> (New York:  Doubleday &amp; Company, Inc., 1970), p. 141.</w:t>
      </w:r>
    </w:p>
  </w:footnote>
  <w:footnote w:id="191">
    <w:p w:rsidR="00E0141C" w:rsidRDefault="00E0141C">
      <w:pPr>
        <w:pStyle w:val="FootnoteText"/>
      </w:pPr>
      <w:r>
        <w:rPr>
          <w:rStyle w:val="FootnoteReference"/>
        </w:rPr>
        <w:footnoteRef/>
      </w:r>
      <w:r>
        <w:t xml:space="preserve"> Robert A. Krieg, </w:t>
      </w:r>
      <w:r w:rsidRPr="00DA3B40">
        <w:rPr>
          <w:i/>
        </w:rPr>
        <w:t>Catholic Theologians in Nazi Germany</w:t>
      </w:r>
      <w:r>
        <w:t xml:space="preserve"> (New York:  Continuum, 2004).</w:t>
      </w:r>
    </w:p>
  </w:footnote>
  <w:footnote w:id="192">
    <w:p w:rsidR="00E0141C" w:rsidRDefault="00E0141C">
      <w:pPr>
        <w:pStyle w:val="FootnoteText"/>
      </w:pPr>
      <w:r>
        <w:rPr>
          <w:rStyle w:val="FootnoteReference"/>
        </w:rPr>
        <w:footnoteRef/>
      </w:r>
      <w:r>
        <w:t xml:space="preserve"> Bob Dylan, “Property of Jesus” (cf. n. 9 </w:t>
      </w:r>
      <w:r w:rsidRPr="00E41AB2">
        <w:rPr>
          <w:i/>
        </w:rPr>
        <w:t>supra</w:t>
      </w:r>
      <w:r>
        <w:t>), p. 456.</w:t>
      </w:r>
    </w:p>
  </w:footnote>
  <w:footnote w:id="193">
    <w:p w:rsidR="00E0141C" w:rsidRDefault="00E0141C">
      <w:pPr>
        <w:pStyle w:val="FootnoteText"/>
      </w:pPr>
      <w:r>
        <w:rPr>
          <w:rStyle w:val="FootnoteReference"/>
        </w:rPr>
        <w:footnoteRef/>
      </w:r>
      <w:r>
        <w:t xml:space="preserve"> It may not seem like it, but I have, to this point, tried to soften the harshest edges of my expression.  Having read of the contretemps at De La Salle High School, though, and your office’s treatment of what happened there as a public relations problem, rather than as what it is – sin – leaves me somewhat less concerned with being respectful.</w:t>
      </w:r>
    </w:p>
  </w:footnote>
  <w:footnote w:id="194">
    <w:p w:rsidR="00E0141C" w:rsidRDefault="00E0141C">
      <w:pPr>
        <w:pStyle w:val="FootnoteText"/>
      </w:pPr>
      <w:r>
        <w:rPr>
          <w:rStyle w:val="FootnoteReference"/>
        </w:rPr>
        <w:footnoteRef/>
      </w:r>
      <w:r>
        <w:t xml:space="preserve"> Jared Diamond, </w:t>
      </w:r>
      <w:r w:rsidRPr="008477A2">
        <w:rPr>
          <w:i/>
        </w:rPr>
        <w:t>Why Is Sex Fun?  The Evolution of Human Sexuality</w:t>
      </w:r>
      <w:r>
        <w:t xml:space="preserve"> (New York:  Basic Books, 1997).</w:t>
      </w:r>
    </w:p>
  </w:footnote>
  <w:footnote w:id="195">
    <w:p w:rsidR="00E0141C" w:rsidRDefault="00E0141C">
      <w:pPr>
        <w:pStyle w:val="FootnoteText"/>
      </w:pPr>
      <w:r>
        <w:rPr>
          <w:rStyle w:val="FootnoteReference"/>
        </w:rPr>
        <w:footnoteRef/>
      </w:r>
      <w:r>
        <w:t xml:space="preserve"> As I will soon argue, we need, though, to be careful of universals here.  Bonobos and dolphins seem to engage in non-reproductive sexual frolicking, but that’s about it.</w:t>
      </w:r>
    </w:p>
  </w:footnote>
  <w:footnote w:id="196">
    <w:p w:rsidR="00E0141C" w:rsidRDefault="00E0141C">
      <w:pPr>
        <w:pStyle w:val="FootnoteText"/>
      </w:pPr>
      <w:r>
        <w:rPr>
          <w:rStyle w:val="FootnoteReference"/>
        </w:rPr>
        <w:footnoteRef/>
      </w:r>
      <w:r>
        <w:t xml:space="preserve"> </w:t>
      </w:r>
      <w:r w:rsidRPr="00497CE6">
        <w:rPr>
          <w:i/>
        </w:rPr>
        <w:t>Eth. ad Nic.</w:t>
      </w:r>
      <w:r>
        <w:t xml:space="preserve"> IV, 8, 11, 1128B.</w:t>
      </w:r>
    </w:p>
  </w:footnote>
  <w:footnote w:id="197">
    <w:p w:rsidR="00E0141C" w:rsidRDefault="00E0141C">
      <w:pPr>
        <w:pStyle w:val="FootnoteText"/>
      </w:pPr>
      <w:r>
        <w:rPr>
          <w:rStyle w:val="FootnoteReference"/>
        </w:rPr>
        <w:footnoteRef/>
      </w:r>
      <w:r>
        <w:t xml:space="preserve"> And since you seem able to find piles of money lying around to devote to other tasks, perhaps you could find a million bucks or so to devote to helping your pastors with this urgent need.</w:t>
      </w:r>
    </w:p>
  </w:footnote>
  <w:footnote w:id="198">
    <w:p w:rsidR="00E0141C" w:rsidRDefault="00E0141C">
      <w:pPr>
        <w:pStyle w:val="FootnoteText"/>
      </w:pPr>
      <w:r>
        <w:rPr>
          <w:rStyle w:val="FootnoteReference"/>
        </w:rPr>
        <w:footnoteRef/>
      </w:r>
      <w:r>
        <w:t xml:space="preserve"> Josef Santeler, “Species,” </w:t>
      </w:r>
      <w:r w:rsidRPr="000344AC">
        <w:rPr>
          <w:i/>
        </w:rPr>
        <w:t>Philosophical Dictionary</w:t>
      </w:r>
      <w:r>
        <w:t>, ed. Walter Brugger, trans. Kenneth Baker (Spokane:  Gonzaga University Press, 1972), p. 384.</w:t>
      </w:r>
    </w:p>
  </w:footnote>
  <w:footnote w:id="199">
    <w:p w:rsidR="00E0141C" w:rsidRDefault="00E0141C">
      <w:pPr>
        <w:pStyle w:val="FootnoteText"/>
      </w:pPr>
      <w:r>
        <w:rPr>
          <w:rStyle w:val="FootnoteReference"/>
        </w:rPr>
        <w:footnoteRef/>
      </w:r>
      <w:r>
        <w:t xml:space="preserve"> Stephen J. Pope, </w:t>
      </w:r>
      <w:r w:rsidRPr="007B501F">
        <w:rPr>
          <w:i/>
        </w:rPr>
        <w:t>Human Evolution and Christian Ethics</w:t>
      </w:r>
      <w:r>
        <w:t xml:space="preserve"> (Cambridge:  Cambridge University Press, 2007), p. 148.</w:t>
      </w:r>
    </w:p>
  </w:footnote>
  <w:footnote w:id="200">
    <w:p w:rsidR="00E0141C" w:rsidRDefault="00E0141C">
      <w:pPr>
        <w:pStyle w:val="FootnoteText"/>
      </w:pPr>
      <w:r>
        <w:rPr>
          <w:rStyle w:val="FootnoteReference"/>
        </w:rPr>
        <w:footnoteRef/>
      </w:r>
      <w:r>
        <w:t xml:space="preserve"> </w:t>
      </w:r>
      <w:r w:rsidRPr="00776912">
        <w:rPr>
          <w:i/>
        </w:rPr>
        <w:t>ST</w:t>
      </w:r>
      <w:r>
        <w:t xml:space="preserve"> I, q. 47, a. 1, </w:t>
      </w:r>
      <w:r w:rsidRPr="00776912">
        <w:rPr>
          <w:i/>
        </w:rPr>
        <w:t>Responsio</w:t>
      </w:r>
      <w:r>
        <w:t>.</w:t>
      </w:r>
    </w:p>
  </w:footnote>
  <w:footnote w:id="201">
    <w:p w:rsidR="00E0141C" w:rsidRDefault="00E0141C">
      <w:pPr>
        <w:pStyle w:val="FootnoteText"/>
      </w:pPr>
      <w:r>
        <w:rPr>
          <w:rStyle w:val="FootnoteReference"/>
        </w:rPr>
        <w:footnoteRef/>
      </w:r>
      <w:r>
        <w:t xml:space="preserve"> Stephen J. Pope (cf. n. 199 </w:t>
      </w:r>
      <w:r w:rsidRPr="00CE0B2E">
        <w:rPr>
          <w:i/>
        </w:rPr>
        <w:t>supra</w:t>
      </w:r>
      <w:r>
        <w:t>), p. 234.</w:t>
      </w:r>
    </w:p>
  </w:footnote>
  <w:footnote w:id="202">
    <w:p w:rsidR="00E0141C" w:rsidRDefault="00E0141C">
      <w:pPr>
        <w:pStyle w:val="FootnoteText"/>
      </w:pPr>
      <w:r>
        <w:rPr>
          <w:rStyle w:val="FootnoteReference"/>
        </w:rPr>
        <w:footnoteRef/>
      </w:r>
      <w:r>
        <w:t xml:space="preserve"> Angelo Cardinal Scola (cf. n. 80 </w:t>
      </w:r>
      <w:r w:rsidRPr="00D27276">
        <w:rPr>
          <w:i/>
        </w:rPr>
        <w:t>supra</w:t>
      </w:r>
      <w:r>
        <w:t>), p. 158.</w:t>
      </w:r>
    </w:p>
  </w:footnote>
  <w:footnote w:id="203">
    <w:p w:rsidR="00E0141C" w:rsidRDefault="00E0141C">
      <w:pPr>
        <w:pStyle w:val="FootnoteText"/>
      </w:pPr>
      <w:r>
        <w:rPr>
          <w:rStyle w:val="FootnoteReference"/>
        </w:rPr>
        <w:footnoteRef/>
      </w:r>
      <w:r>
        <w:t xml:space="preserve"> Cf. Clifford Geertz, “The Cerebral Savage:  On the Work of Claude Lévi-Strauss,” </w:t>
      </w:r>
      <w:r w:rsidRPr="001D4858">
        <w:rPr>
          <w:i/>
        </w:rPr>
        <w:t>The Interpretation of Cultures</w:t>
      </w:r>
      <w:r>
        <w:t xml:space="preserve"> (New York:  Basic Books, 1973), pp. 345-359.</w:t>
      </w:r>
    </w:p>
    <w:p w:rsidR="00E0141C" w:rsidRDefault="00E0141C">
      <w:pPr>
        <w:pStyle w:val="FootnoteText"/>
      </w:pPr>
    </w:p>
    <w:p w:rsidR="00E0141C" w:rsidRDefault="00E0141C">
      <w:pPr>
        <w:pStyle w:val="FootnoteText"/>
      </w:pPr>
    </w:p>
    <w:p w:rsidR="00E0141C" w:rsidRDefault="00E0141C">
      <w:pPr>
        <w:pStyle w:val="FootnoteText"/>
      </w:pPr>
    </w:p>
    <w:p w:rsidR="00E0141C" w:rsidRDefault="00E0141C">
      <w:pPr>
        <w:pStyle w:val="FootnoteText"/>
      </w:pPr>
    </w:p>
  </w:footnote>
  <w:footnote w:id="204">
    <w:p w:rsidR="00E0141C" w:rsidRDefault="00E0141C">
      <w:pPr>
        <w:pStyle w:val="FootnoteText"/>
      </w:pPr>
      <w:r>
        <w:rPr>
          <w:rStyle w:val="FootnoteReference"/>
        </w:rPr>
        <w:footnoteRef/>
      </w:r>
      <w:r w:rsidRPr="00355311">
        <w:rPr>
          <w:i/>
        </w:rPr>
        <w:t xml:space="preserve"> Ibid</w:t>
      </w:r>
      <w:r>
        <w:t xml:space="preserve">., pp. 356-358.  His work was “an ingenious and somewhat roundabout attempt to defend a metaphysical position, advance an ideological argument, and serve a moral cause.”  </w:t>
      </w:r>
      <w:r w:rsidRPr="005E6E05">
        <w:rPr>
          <w:i/>
        </w:rPr>
        <w:t>Ibid</w:t>
      </w:r>
      <w:r>
        <w:t xml:space="preserve">., p. 347.  Geertz also comments, “Like Rousseau, Lévi-Strauss’s search is not after all for men, whom he doesn’t much care for, but for Man, with whom he is enthralled.”  </w:t>
      </w:r>
      <w:r w:rsidRPr="00D22B78">
        <w:rPr>
          <w:i/>
        </w:rPr>
        <w:t>Ibid</w:t>
      </w:r>
      <w:r>
        <w:t>., p. 356.</w:t>
      </w:r>
    </w:p>
  </w:footnote>
  <w:footnote w:id="205">
    <w:p w:rsidR="00E0141C" w:rsidRDefault="00E0141C">
      <w:pPr>
        <w:pStyle w:val="FootnoteText"/>
      </w:pPr>
      <w:r>
        <w:rPr>
          <w:rStyle w:val="FootnoteReference"/>
        </w:rPr>
        <w:footnoteRef/>
      </w:r>
      <w:r>
        <w:t xml:space="preserve"> </w:t>
      </w:r>
      <w:r w:rsidRPr="00D22B78">
        <w:rPr>
          <w:i/>
        </w:rPr>
        <w:t>Ibid</w:t>
      </w:r>
      <w:r>
        <w:t>., p. 355.</w:t>
      </w:r>
    </w:p>
  </w:footnote>
  <w:footnote w:id="206">
    <w:p w:rsidR="00E0141C" w:rsidRDefault="00E0141C">
      <w:pPr>
        <w:pStyle w:val="FootnoteText"/>
      </w:pPr>
      <w:r>
        <w:rPr>
          <w:rStyle w:val="FootnoteReference"/>
        </w:rPr>
        <w:footnoteRef/>
      </w:r>
      <w:r>
        <w:t xml:space="preserve"> Cf. p. 35 </w:t>
      </w:r>
      <w:r w:rsidRPr="00A93AC0">
        <w:rPr>
          <w:i/>
        </w:rPr>
        <w:t>supra</w:t>
      </w:r>
      <w:r>
        <w:t>.</w:t>
      </w:r>
    </w:p>
  </w:footnote>
  <w:footnote w:id="207">
    <w:p w:rsidR="00E0141C" w:rsidRDefault="00E0141C">
      <w:pPr>
        <w:pStyle w:val="FootnoteText"/>
      </w:pPr>
      <w:r>
        <w:rPr>
          <w:rStyle w:val="FootnoteReference"/>
        </w:rPr>
        <w:footnoteRef/>
      </w:r>
      <w:r>
        <w:t xml:space="preserve"> Clifford Geertz, “Anti Anti-Relativism,” </w:t>
      </w:r>
      <w:r w:rsidRPr="003B32C8">
        <w:rPr>
          <w:i/>
        </w:rPr>
        <w:t>Available Light:  Anthropological Reflections on Philosophical Topics</w:t>
      </w:r>
      <w:r>
        <w:t xml:space="preserve"> (Princeton NJ:  Princeton University Press, 2000), pp. 42-67.</w:t>
      </w:r>
    </w:p>
  </w:footnote>
  <w:footnote w:id="208">
    <w:p w:rsidR="00E0141C" w:rsidRDefault="00E0141C">
      <w:pPr>
        <w:pStyle w:val="FootnoteText"/>
      </w:pPr>
      <w:r>
        <w:rPr>
          <w:rStyle w:val="FootnoteReference"/>
        </w:rPr>
        <w:footnoteRef/>
      </w:r>
      <w:r>
        <w:t xml:space="preserve"> Bernard J. F. Lonergan, S.J., “The Transition from a Classicist World-View to Historical-Mindedness,” </w:t>
      </w:r>
      <w:r w:rsidRPr="00D21736">
        <w:rPr>
          <w:i/>
        </w:rPr>
        <w:t>A Second Collection</w:t>
      </w:r>
      <w:r>
        <w:t>, ed. William F.J. Ryan, S.J., and Bernard J. Tyrrell, S.J. (Philadelphia:  Westminster Press, 1974), pp. 1-9.</w:t>
      </w:r>
    </w:p>
  </w:footnote>
  <w:footnote w:id="209">
    <w:p w:rsidR="00E0141C" w:rsidRDefault="00E0141C">
      <w:pPr>
        <w:pStyle w:val="FootnoteText"/>
      </w:pPr>
      <w:r>
        <w:rPr>
          <w:rStyle w:val="FootnoteReference"/>
        </w:rPr>
        <w:footnoteRef/>
      </w:r>
      <w:r>
        <w:t xml:space="preserve"> </w:t>
      </w:r>
      <w:r w:rsidRPr="008C463C">
        <w:rPr>
          <w:i/>
        </w:rPr>
        <w:t>Ibid</w:t>
      </w:r>
      <w:r>
        <w:t>., p. 3.</w:t>
      </w:r>
    </w:p>
  </w:footnote>
  <w:footnote w:id="210">
    <w:p w:rsidR="00E0141C" w:rsidRDefault="00E0141C">
      <w:pPr>
        <w:pStyle w:val="FootnoteText"/>
      </w:pPr>
      <w:r>
        <w:rPr>
          <w:rStyle w:val="FootnoteReference"/>
        </w:rPr>
        <w:footnoteRef/>
      </w:r>
      <w:r>
        <w:t xml:space="preserve"> </w:t>
      </w:r>
      <w:r w:rsidRPr="00DB2533">
        <w:rPr>
          <w:i/>
        </w:rPr>
        <w:t>Ibid</w:t>
      </w:r>
      <w:r>
        <w:t>.</w:t>
      </w:r>
    </w:p>
  </w:footnote>
  <w:footnote w:id="211">
    <w:p w:rsidR="00E0141C" w:rsidRDefault="00E0141C">
      <w:pPr>
        <w:pStyle w:val="FootnoteText"/>
      </w:pPr>
      <w:r>
        <w:rPr>
          <w:rStyle w:val="FootnoteReference"/>
        </w:rPr>
        <w:footnoteRef/>
      </w:r>
      <w:r>
        <w:t xml:space="preserve"> </w:t>
      </w:r>
      <w:r w:rsidRPr="00DB2533">
        <w:rPr>
          <w:i/>
        </w:rPr>
        <w:t>Ibid</w:t>
      </w:r>
      <w:r>
        <w:t>., pp. 5-6.</w:t>
      </w:r>
    </w:p>
  </w:footnote>
  <w:footnote w:id="212">
    <w:p w:rsidR="00E0141C" w:rsidRDefault="00E0141C">
      <w:pPr>
        <w:pStyle w:val="FootnoteText"/>
      </w:pPr>
      <w:r>
        <w:rPr>
          <w:rStyle w:val="FootnoteReference"/>
        </w:rPr>
        <w:footnoteRef/>
      </w:r>
      <w:r>
        <w:t xml:space="preserve"> John J. McNeill, </w:t>
      </w:r>
      <w:r w:rsidRPr="00B40902">
        <w:rPr>
          <w:i/>
        </w:rPr>
        <w:t>The Church and the Homosexual</w:t>
      </w:r>
      <w:r>
        <w:t>, 4</w:t>
      </w:r>
      <w:r w:rsidRPr="00B40902">
        <w:rPr>
          <w:vertAlign w:val="superscript"/>
        </w:rPr>
        <w:t>th</w:t>
      </w:r>
      <w:r>
        <w:t xml:space="preserve"> ed. (Boston:  Beacon Press, 1993), p. 113.  This relates to my earlier (cf. p. 8 </w:t>
      </w:r>
      <w:r w:rsidRPr="00DA31F7">
        <w:rPr>
          <w:i/>
        </w:rPr>
        <w:t>supra</w:t>
      </w:r>
      <w:r>
        <w:t>) consideration of the relationship between ‘shame’ and ‘sin’ in interpreting Genesis.</w:t>
      </w:r>
    </w:p>
  </w:footnote>
  <w:footnote w:id="213">
    <w:p w:rsidR="00E0141C" w:rsidRDefault="00E0141C">
      <w:pPr>
        <w:pStyle w:val="FootnoteText"/>
      </w:pPr>
      <w:r>
        <w:rPr>
          <w:rStyle w:val="FootnoteReference"/>
        </w:rPr>
        <w:footnoteRef/>
      </w:r>
      <w:r>
        <w:t xml:space="preserve"> Rose French, “Priests told not to voice dissent,” [Minneapolis] </w:t>
      </w:r>
      <w:r w:rsidRPr="00B40902">
        <w:rPr>
          <w:i/>
        </w:rPr>
        <w:t xml:space="preserve">StarTribune </w:t>
      </w:r>
      <w:r>
        <w:t xml:space="preserve">(January 15, 2012), p. A-1.  Do you really think that about your own flock?  It is very probable that somewhere between 45% and 55% of Minnesota Catholics will vote against you on this, and very possibly a similar percentage of your own priests.  Is that really how you think of them?  Really?  </w:t>
      </w:r>
    </w:p>
  </w:footnote>
  <w:footnote w:id="214">
    <w:p w:rsidR="00E0141C" w:rsidRDefault="00E0141C">
      <w:pPr>
        <w:pStyle w:val="FootnoteText"/>
      </w:pPr>
      <w:r>
        <w:rPr>
          <w:rStyle w:val="FootnoteReference"/>
        </w:rPr>
        <w:footnoteRef/>
      </w:r>
      <w:r>
        <w:t xml:space="preserve"> Carol Curoe and Robert Curoe, </w:t>
      </w:r>
      <w:r w:rsidRPr="00AB6B9E">
        <w:rPr>
          <w:i/>
        </w:rPr>
        <w:t xml:space="preserve">Are There Closets in Heaven?  A Catholic Father and Lesbian Daughter Share Their Story </w:t>
      </w:r>
      <w:r>
        <w:t>(Minneapolis:  Stren Book Company, 2007).</w:t>
      </w:r>
    </w:p>
  </w:footnote>
  <w:footnote w:id="215">
    <w:p w:rsidR="00E0141C" w:rsidRDefault="00E0141C">
      <w:pPr>
        <w:pStyle w:val="FootnoteText"/>
      </w:pPr>
      <w:r>
        <w:rPr>
          <w:rStyle w:val="FootnoteReference"/>
        </w:rPr>
        <w:footnoteRef/>
      </w:r>
      <w:r>
        <w:t xml:space="preserve"> There seems to have occurred in the Church a big chill, in which we have moved from (a) Pope John Paul’s inaugural ‘Be not afraid!’ to (b) ‘Be afraid!  Be very afraid!’</w:t>
      </w:r>
    </w:p>
  </w:footnote>
  <w:footnote w:id="216">
    <w:p w:rsidR="00E0141C" w:rsidRDefault="00E0141C">
      <w:pPr>
        <w:pStyle w:val="FootnoteText"/>
      </w:pPr>
      <w:r>
        <w:rPr>
          <w:rStyle w:val="FootnoteReference"/>
        </w:rPr>
        <w:footnoteRef/>
      </w:r>
      <w:r>
        <w:t xml:space="preserve"> Bill Bishop, </w:t>
      </w:r>
      <w:r w:rsidRPr="00C426CF">
        <w:rPr>
          <w:i/>
        </w:rPr>
        <w:t>The Big Sort:  Why the Clustering of Like-Minded America Is Tearing Us Apart</w:t>
      </w:r>
      <w:r>
        <w:t xml:space="preserve"> (Boston:  Houghton, Mifflin, Harcourt, 2009).  Such clustering seems not uncommon in the Church.  I suspect a disinterested observer of your presbyteral meetings, for example, could quite easily identify clusters of priests-who-talk-to-each-other.  I further suspect that many purportedly ‘theological’ judgments have come to be little more than expressions of totemic ‘cluster identity.’  Thus, too, chanceries (perhaps even </w:t>
      </w:r>
      <w:r w:rsidRPr="002E38E8">
        <w:rPr>
          <w:i/>
        </w:rPr>
        <w:t>curiae</w:t>
      </w:r>
      <w:r>
        <w:t>) succumb to group-think, especially if the atmosphere is ‘think like this if you’d like to keep your job.’</w:t>
      </w:r>
    </w:p>
  </w:footnote>
  <w:footnote w:id="217">
    <w:p w:rsidR="00E0141C" w:rsidRDefault="00E0141C">
      <w:pPr>
        <w:pStyle w:val="FootnoteText"/>
      </w:pPr>
      <w:r>
        <w:rPr>
          <w:rStyle w:val="FootnoteReference"/>
        </w:rPr>
        <w:footnoteRef/>
      </w:r>
      <w:r>
        <w:t xml:space="preserve"> Cf. David B. Burrell, C.S.C., </w:t>
      </w:r>
      <w:r w:rsidRPr="00912B73">
        <w:rPr>
          <w:i/>
        </w:rPr>
        <w:t>Exercises in Religious Understanding</w:t>
      </w:r>
      <w:r>
        <w:t xml:space="preserve"> (Notre Dame:  University of Notre Dame Press, 1974), pp. 88-89.</w:t>
      </w:r>
    </w:p>
  </w:footnote>
  <w:footnote w:id="218">
    <w:p w:rsidR="00E0141C" w:rsidRDefault="00E0141C">
      <w:pPr>
        <w:pStyle w:val="FootnoteText"/>
      </w:pPr>
      <w:r>
        <w:rPr>
          <w:rStyle w:val="FootnoteReference"/>
        </w:rPr>
        <w:footnoteRef/>
      </w:r>
      <w:r>
        <w:t xml:space="preserve"> David Tracy, </w:t>
      </w:r>
      <w:r w:rsidRPr="00484CA9">
        <w:rPr>
          <w:i/>
        </w:rPr>
        <w:t>The Analogical Imagination:  Christian Theology and the Culture of Pluralism</w:t>
      </w:r>
      <w:r>
        <w:t xml:space="preserve"> (New York:  Crossroad, 1981), p. 409.</w:t>
      </w:r>
    </w:p>
  </w:footnote>
  <w:footnote w:id="219">
    <w:p w:rsidR="00E0141C" w:rsidRDefault="00E0141C">
      <w:pPr>
        <w:pStyle w:val="FootnoteText"/>
      </w:pPr>
      <w:r>
        <w:rPr>
          <w:rStyle w:val="FootnoteReference"/>
        </w:rPr>
        <w:footnoteRef/>
      </w:r>
      <w:r>
        <w:t xml:space="preserve"> To overhear such supernatural sharing, cf. Daniel Berrigan, S.J., </w:t>
      </w:r>
      <w:r w:rsidRPr="00374E0B">
        <w:rPr>
          <w:i/>
        </w:rPr>
        <w:t>Sorrow Built a Bridge:  Friendship and AIDS</w:t>
      </w:r>
      <w:r>
        <w:t xml:space="preserve"> (Baltimore:  Fortkamp Publishing, 1989).</w:t>
      </w:r>
    </w:p>
  </w:footnote>
  <w:footnote w:id="220">
    <w:p w:rsidR="00E0141C" w:rsidRDefault="00E0141C">
      <w:pPr>
        <w:pStyle w:val="FootnoteText"/>
      </w:pPr>
      <w:r>
        <w:rPr>
          <w:rStyle w:val="FootnoteReference"/>
        </w:rPr>
        <w:footnoteRef/>
      </w:r>
      <w:r>
        <w:t xml:space="preserve"> Angelo Cardinal Scola (cf. n. 80 </w:t>
      </w:r>
      <w:r w:rsidRPr="00F61DB0">
        <w:rPr>
          <w:i/>
        </w:rPr>
        <w:t>supra</w:t>
      </w:r>
      <w:r>
        <w:t>), p. 34.</w:t>
      </w:r>
    </w:p>
  </w:footnote>
  <w:footnote w:id="221">
    <w:p w:rsidR="00E0141C" w:rsidRDefault="00E0141C">
      <w:pPr>
        <w:pStyle w:val="FootnoteText"/>
      </w:pPr>
      <w:r>
        <w:rPr>
          <w:rStyle w:val="FootnoteReference"/>
        </w:rPr>
        <w:footnoteRef/>
      </w:r>
      <w:r>
        <w:t xml:space="preserve"> </w:t>
      </w:r>
      <w:r w:rsidRPr="003C1881">
        <w:rPr>
          <w:i/>
        </w:rPr>
        <w:t>ST</w:t>
      </w:r>
      <w:r w:rsidR="0096160B">
        <w:t xml:space="preserve"> I, q</w:t>
      </w:r>
      <w:r>
        <w:t xml:space="preserve">. 93, a. 6, </w:t>
      </w:r>
      <w:r w:rsidRPr="00276AFF">
        <w:rPr>
          <w:i/>
        </w:rPr>
        <w:t>ad</w:t>
      </w:r>
      <w:r>
        <w:t xml:space="preserve"> 2.</w:t>
      </w:r>
    </w:p>
  </w:footnote>
  <w:footnote w:id="222">
    <w:p w:rsidR="00E0141C" w:rsidRDefault="00E0141C">
      <w:pPr>
        <w:pStyle w:val="FootnoteText"/>
      </w:pPr>
      <w:r>
        <w:rPr>
          <w:rStyle w:val="FootnoteReference"/>
        </w:rPr>
        <w:footnoteRef/>
      </w:r>
      <w:r>
        <w:t xml:space="preserve"> §§356-361.</w:t>
      </w:r>
    </w:p>
  </w:footnote>
  <w:footnote w:id="223">
    <w:p w:rsidR="00E0141C" w:rsidRDefault="00E0141C">
      <w:pPr>
        <w:pStyle w:val="FootnoteText"/>
      </w:pPr>
      <w:r>
        <w:rPr>
          <w:rStyle w:val="FootnoteReference"/>
        </w:rPr>
        <w:footnoteRef/>
      </w:r>
      <w:r>
        <w:t xml:space="preserve"> §362, §380, §1701, §1702.</w:t>
      </w:r>
    </w:p>
  </w:footnote>
  <w:footnote w:id="224">
    <w:p w:rsidR="00E0141C" w:rsidRDefault="00E0141C">
      <w:pPr>
        <w:pStyle w:val="FootnoteText"/>
      </w:pPr>
      <w:r>
        <w:rPr>
          <w:rStyle w:val="FootnoteReference"/>
        </w:rPr>
        <w:footnoteRef/>
      </w:r>
      <w:r>
        <w:t xml:space="preserve"> Andrew Greeley, </w:t>
      </w:r>
      <w:r w:rsidRPr="006819B5">
        <w:rPr>
          <w:i/>
        </w:rPr>
        <w:t>The Catholic Revolution:  New Wine, Old Wineskins, and the Second Vatican Council</w:t>
      </w:r>
      <w:r>
        <w:t xml:space="preserve"> (Berkeley:  University of California Press, 2004), p. 7 and </w:t>
      </w:r>
      <w:r w:rsidRPr="006819B5">
        <w:rPr>
          <w:i/>
        </w:rPr>
        <w:t>passim</w:t>
      </w:r>
      <w:r>
        <w:t>.</w:t>
      </w:r>
    </w:p>
  </w:footnote>
  <w:footnote w:id="225">
    <w:p w:rsidR="00E0141C" w:rsidRDefault="00E0141C">
      <w:pPr>
        <w:pStyle w:val="FootnoteText"/>
      </w:pPr>
      <w:r>
        <w:rPr>
          <w:rStyle w:val="FootnoteReference"/>
        </w:rPr>
        <w:footnoteRef/>
      </w:r>
      <w:r>
        <w:t xml:space="preserve"> Terry Eagleton, </w:t>
      </w:r>
      <w:r w:rsidRPr="002412F9">
        <w:rPr>
          <w:i/>
        </w:rPr>
        <w:t>Reason, Faith, and Revolution:  Reflections on the God Debate</w:t>
      </w:r>
      <w:r>
        <w:t xml:space="preserve"> (New Haven:  Yale University Press, 2009), p. 2.</w:t>
      </w:r>
    </w:p>
  </w:footnote>
  <w:footnote w:id="226">
    <w:p w:rsidR="00E0141C" w:rsidRPr="00E56A89" w:rsidRDefault="00E0141C">
      <w:pPr>
        <w:pStyle w:val="FootnoteText"/>
      </w:pPr>
      <w:r>
        <w:rPr>
          <w:rStyle w:val="FootnoteReference"/>
        </w:rPr>
        <w:footnoteRef/>
      </w:r>
      <w:r w:rsidRPr="00E56A89">
        <w:t xml:space="preserve"> Fergus Kerr, O.P. (cf. n. </w:t>
      </w:r>
      <w:r>
        <w:t>79</w:t>
      </w:r>
      <w:r w:rsidRPr="00E56A89">
        <w:t xml:space="preserve"> </w:t>
      </w:r>
      <w:r w:rsidRPr="00E56A89">
        <w:rPr>
          <w:i/>
        </w:rPr>
        <w:t>supra</w:t>
      </w:r>
      <w:r>
        <w:t>), p. 194.</w:t>
      </w:r>
    </w:p>
  </w:footnote>
  <w:footnote w:id="227">
    <w:p w:rsidR="00E0141C" w:rsidRDefault="00E0141C">
      <w:pPr>
        <w:pStyle w:val="FootnoteText"/>
      </w:pPr>
      <w:r>
        <w:rPr>
          <w:rStyle w:val="FootnoteReference"/>
        </w:rPr>
        <w:footnoteRef/>
      </w:r>
      <w:r>
        <w:t xml:space="preserve"> Cardinal Scola here simply distinguishes between Pope John Paul’s innovation, on the one hand, and, on the other, “the Augustinian-Thomistic tradition, according to which the </w:t>
      </w:r>
      <w:r w:rsidRPr="0027525B">
        <w:rPr>
          <w:i/>
        </w:rPr>
        <w:t>imago</w:t>
      </w:r>
      <w:r>
        <w:t xml:space="preserve"> resides in the </w:t>
      </w:r>
      <w:r w:rsidRPr="0027525B">
        <w:rPr>
          <w:i/>
        </w:rPr>
        <w:t>mens</w:t>
      </w:r>
      <w:r>
        <w:t xml:space="preserve">,” without advertence to significant distinction between Augustine and Thomas.  Cf. n. 80 </w:t>
      </w:r>
      <w:r w:rsidRPr="006B19E5">
        <w:rPr>
          <w:i/>
        </w:rPr>
        <w:t>supra</w:t>
      </w:r>
      <w:r>
        <w:t xml:space="preserve">, p. 47.  Lonergan highlights the different notions of knowing in the two.  Augustine posited illuminated knowledge through confrontation, a spiritual ‘seeing’ the Eternal Ideas of God.  For Aquinas, knowing is not confrontation, but identity of the knower and the known.  The human mind serves as Trinitarian analogy, not because of what it </w:t>
      </w:r>
      <w:r w:rsidRPr="0027525B">
        <w:rPr>
          <w:i/>
        </w:rPr>
        <w:t>has</w:t>
      </w:r>
      <w:r>
        <w:t xml:space="preserve"> by way of illuminating confrontation with the Eternal Reasons of things, but because it </w:t>
      </w:r>
      <w:r w:rsidRPr="00BB785A">
        <w:rPr>
          <w:i/>
        </w:rPr>
        <w:t>is</w:t>
      </w:r>
      <w:r>
        <w:t xml:space="preserve"> a created participation of the divine mind in its ability to be </w:t>
      </w:r>
      <w:r w:rsidRPr="00716AB1">
        <w:rPr>
          <w:i/>
        </w:rPr>
        <w:t>identical with reality</w:t>
      </w:r>
      <w:r>
        <w:t xml:space="preserve"> through its power to </w:t>
      </w:r>
      <w:r w:rsidRPr="00716AB1">
        <w:rPr>
          <w:i/>
        </w:rPr>
        <w:t>understand the truth of reality</w:t>
      </w:r>
      <w:r>
        <w:t xml:space="preserve">.  Thomas himself adverts to the distinction between the two in noting that the Augustinian notion of </w:t>
      </w:r>
      <w:r w:rsidRPr="00BB785A">
        <w:rPr>
          <w:i/>
        </w:rPr>
        <w:t>imago Dei</w:t>
      </w:r>
      <w:r>
        <w:t xml:space="preserve"> pertained to the human ability to understand God, while he found it in the human ability to understand natural things, as well (</w:t>
      </w:r>
      <w:r w:rsidRPr="00BB785A">
        <w:rPr>
          <w:i/>
        </w:rPr>
        <w:t>ST</w:t>
      </w:r>
      <w:r>
        <w:t xml:space="preserve"> I, q. 93, a. 8).  Bernard J. F. Lonergan, S.J., </w:t>
      </w:r>
      <w:r w:rsidRPr="00903E7D">
        <w:rPr>
          <w:i/>
        </w:rPr>
        <w:t>Verbum:  Word and Idea in Aquinas</w:t>
      </w:r>
      <w:r>
        <w:t xml:space="preserve">, Volume 3 of the </w:t>
      </w:r>
      <w:r w:rsidRPr="00903E7D">
        <w:rPr>
          <w:i/>
        </w:rPr>
        <w:t>Collected Works of Bernard Lonergan</w:t>
      </w:r>
      <w:r>
        <w:t xml:space="preserve">, ed. Frederick E. Crowe and Robert M. Doran (Toronto:  University of Toronto Press, 1997), pp. 191-227.  Thus, the notion of an ‘Augustinian-Thomistic tradition’ is both true and significant in pointing to the innovative character of John Paul’s usage, yet the blurring of the two together highlights what I attempted to say earlier (cf. pp. 32-42 </w:t>
      </w:r>
      <w:r w:rsidRPr="0027525B">
        <w:rPr>
          <w:i/>
        </w:rPr>
        <w:t>supra</w:t>
      </w:r>
      <w:r>
        <w:t>) about the importance of clarity with regard to the difference between Augustinian and Thomist notions of  knowing natural realities.</w:t>
      </w:r>
    </w:p>
  </w:footnote>
  <w:footnote w:id="228">
    <w:p w:rsidR="00E0141C" w:rsidRDefault="00E0141C">
      <w:pPr>
        <w:pStyle w:val="FootnoteText"/>
      </w:pPr>
      <w:r>
        <w:rPr>
          <w:rStyle w:val="FootnoteReference"/>
        </w:rPr>
        <w:footnoteRef/>
      </w:r>
      <w:r>
        <w:t xml:space="preserve"> </w:t>
      </w:r>
      <w:r w:rsidRPr="003C1881">
        <w:rPr>
          <w:i/>
        </w:rPr>
        <w:t>ST</w:t>
      </w:r>
      <w:r w:rsidR="00F5048F">
        <w:t xml:space="preserve"> I, q</w:t>
      </w:r>
      <w:r>
        <w:t xml:space="preserve">. 93, a. 6, </w:t>
      </w:r>
      <w:r w:rsidRPr="00276AFF">
        <w:rPr>
          <w:i/>
        </w:rPr>
        <w:t>ad</w:t>
      </w:r>
      <w:r>
        <w:t xml:space="preserve"> 2.  </w:t>
      </w:r>
    </w:p>
  </w:footnote>
  <w:footnote w:id="229">
    <w:p w:rsidR="00E0141C" w:rsidRDefault="00E0141C">
      <w:pPr>
        <w:pStyle w:val="FootnoteText"/>
      </w:pPr>
      <w:r>
        <w:rPr>
          <w:rStyle w:val="FootnoteReference"/>
        </w:rPr>
        <w:footnoteRef/>
      </w:r>
      <w:r>
        <w:t xml:space="preserve"> Comparable, it seems to me, to rushed canonization.  Purgatory be damned!</w:t>
      </w:r>
    </w:p>
  </w:footnote>
  <w:footnote w:id="230">
    <w:p w:rsidR="00E0141C" w:rsidRDefault="00E0141C" w:rsidP="004C3777">
      <w:pPr>
        <w:pStyle w:val="FootnoteText"/>
      </w:pPr>
      <w:r>
        <w:rPr>
          <w:rStyle w:val="FootnoteReference"/>
        </w:rPr>
        <w:footnoteRef/>
      </w:r>
      <w:r>
        <w:t xml:space="preserve"> Then, why write?  Simply because, having read the </w:t>
      </w:r>
      <w:r w:rsidRPr="005D1B79">
        <w:rPr>
          <w:i/>
        </w:rPr>
        <w:t>Star-Tribune</w:t>
      </w:r>
      <w:r>
        <w:t xml:space="preserve"> on the morning of January 15 of this year, I couldn’t not write, at least not write and still be able to look at myself in the mirror.  Somewhere – I can’t find the reference – Camus remarked that, by age forty, each man is responsible for his own face.  He meant, I think, that (i) doing what we ought do, (ii) not doing what we ought do, (iii) doing what we ought not do, and (iv) not doing what we ought not do, all register cumulatively and visibly in our countenance.  I’m well past forty, and each morning I catch a glimpse of the accretions of all four of those options.  There is a certain sadness I sometimes glimpse at the corners of my eyes, the weight of the second option, that I have simply chosen not to deepen here.</w:t>
      </w:r>
    </w:p>
  </w:footnote>
  <w:footnote w:id="231">
    <w:p w:rsidR="00E0141C" w:rsidRPr="004C3777" w:rsidRDefault="00E0141C" w:rsidP="004C3777">
      <w:pPr>
        <w:tabs>
          <w:tab w:val="left" w:pos="8640"/>
        </w:tabs>
        <w:spacing w:after="0" w:line="240" w:lineRule="auto"/>
        <w:rPr>
          <w:rFonts w:ascii="Book Antiqua" w:hAnsi="Book Antiqua"/>
        </w:rPr>
      </w:pPr>
      <w:r>
        <w:rPr>
          <w:rStyle w:val="FootnoteReference"/>
        </w:rPr>
        <w:footnoteRef/>
      </w:r>
      <w:r w:rsidRPr="003D7B3A">
        <w:t xml:space="preserve"> </w:t>
      </w:r>
      <w:r w:rsidRPr="003D7B3A">
        <w:rPr>
          <w:sz w:val="20"/>
          <w:szCs w:val="20"/>
        </w:rPr>
        <w:t>Augustine’s position is summarized, and St. Thomas’s position examined thoroughly by Vincent M. Dever</w:t>
      </w:r>
      <w:r>
        <w:rPr>
          <w:sz w:val="20"/>
          <w:szCs w:val="20"/>
        </w:rPr>
        <w:t>,</w:t>
      </w:r>
      <w:r w:rsidRPr="003D7B3A">
        <w:rPr>
          <w:sz w:val="20"/>
          <w:szCs w:val="20"/>
        </w:rPr>
        <w:t xml:space="preserve">  “Aquinas </w:t>
      </w:r>
      <w:r>
        <w:rPr>
          <w:sz w:val="20"/>
          <w:szCs w:val="20"/>
        </w:rPr>
        <w:t xml:space="preserve">on the Practice of Prostitution,” </w:t>
      </w:r>
      <w:r w:rsidRPr="003D7B3A">
        <w:rPr>
          <w:i/>
          <w:sz w:val="20"/>
          <w:szCs w:val="20"/>
        </w:rPr>
        <w:t xml:space="preserve">Essays in Medieval Studies </w:t>
      </w:r>
      <w:r w:rsidRPr="000D0D92">
        <w:rPr>
          <w:sz w:val="20"/>
          <w:szCs w:val="20"/>
        </w:rPr>
        <w:t>13</w:t>
      </w:r>
      <w:r>
        <w:rPr>
          <w:sz w:val="20"/>
          <w:szCs w:val="20"/>
        </w:rPr>
        <w:t xml:space="preserve"> (1996), pp. </w:t>
      </w:r>
      <w:r w:rsidRPr="003D7B3A">
        <w:rPr>
          <w:sz w:val="20"/>
          <w:szCs w:val="20"/>
        </w:rPr>
        <w:t>39-46.</w:t>
      </w:r>
    </w:p>
  </w:footnote>
  <w:footnote w:id="232">
    <w:p w:rsidR="00E0141C" w:rsidRDefault="00E0141C" w:rsidP="004C3777">
      <w:pPr>
        <w:pStyle w:val="FootnoteText"/>
      </w:pPr>
      <w:r>
        <w:rPr>
          <w:rStyle w:val="FootnoteReference"/>
        </w:rPr>
        <w:footnoteRef/>
      </w:r>
      <w:r>
        <w:t xml:space="preserve"> </w:t>
      </w:r>
      <w:r w:rsidRPr="004C3777">
        <w:rPr>
          <w:i/>
        </w:rPr>
        <w:t>Ibid</w:t>
      </w:r>
      <w:r>
        <w:t>., p. 43.</w:t>
      </w:r>
    </w:p>
  </w:footnote>
  <w:footnote w:id="233">
    <w:p w:rsidR="00E0141C" w:rsidRDefault="00E0141C">
      <w:pPr>
        <w:pStyle w:val="FootnoteText"/>
      </w:pPr>
      <w:r>
        <w:rPr>
          <w:rStyle w:val="FootnoteReference"/>
        </w:rPr>
        <w:footnoteRef/>
      </w:r>
      <w:r w:rsidRPr="00635100">
        <w:t xml:space="preserve"> </w:t>
      </w:r>
      <w:r w:rsidRPr="00635100">
        <w:rPr>
          <w:i/>
        </w:rPr>
        <w:t>ST</w:t>
      </w:r>
      <w:r w:rsidRPr="00635100">
        <w:t xml:space="preserve"> II-II, q. 47, a. 2</w:t>
      </w:r>
      <w:r w:rsidR="00D00E2B">
        <w:t xml:space="preserve">, </w:t>
      </w:r>
      <w:r w:rsidR="00D00E2B" w:rsidRPr="00D00E2B">
        <w:rPr>
          <w:i/>
        </w:rPr>
        <w:t>Sed Contra</w:t>
      </w:r>
      <w:r w:rsidRPr="00635100">
        <w:t xml:space="preserve">.  </w:t>
      </w:r>
      <w:r w:rsidRPr="00A15AD5">
        <w:rPr>
          <w:i/>
        </w:rPr>
        <w:t>Nichomachean Ethics</w:t>
      </w:r>
      <w:r>
        <w:t xml:space="preserve"> 6.5.</w:t>
      </w:r>
    </w:p>
  </w:footnote>
  <w:footnote w:id="234">
    <w:p w:rsidR="00E0141C" w:rsidRDefault="00E0141C">
      <w:pPr>
        <w:pStyle w:val="FootnoteText"/>
      </w:pPr>
      <w:r>
        <w:rPr>
          <w:rStyle w:val="FootnoteReference"/>
        </w:rPr>
        <w:footnoteRef/>
      </w:r>
      <w:r>
        <w:t xml:space="preserve"> </w:t>
      </w:r>
      <w:r w:rsidRPr="00A15AD5">
        <w:rPr>
          <w:i/>
        </w:rPr>
        <w:t>ST</w:t>
      </w:r>
      <w:r>
        <w:t xml:space="preserve"> II-II, q. 47, a. 1</w:t>
      </w:r>
      <w:r w:rsidR="00D00E2B">
        <w:t xml:space="preserve">, </w:t>
      </w:r>
      <w:r w:rsidR="00D00E2B" w:rsidRPr="00D00E2B">
        <w:rPr>
          <w:i/>
        </w:rPr>
        <w:t>Responsio</w:t>
      </w:r>
      <w:r>
        <w:t>.</w:t>
      </w:r>
    </w:p>
  </w:footnote>
  <w:footnote w:id="235">
    <w:p w:rsidR="00E0141C" w:rsidRDefault="00E0141C">
      <w:pPr>
        <w:pStyle w:val="FootnoteText"/>
      </w:pPr>
      <w:r>
        <w:rPr>
          <w:rStyle w:val="FootnoteReference"/>
        </w:rPr>
        <w:footnoteRef/>
      </w:r>
      <w:r>
        <w:t xml:space="preserve"> </w:t>
      </w:r>
      <w:r w:rsidRPr="00A15AD5">
        <w:rPr>
          <w:i/>
        </w:rPr>
        <w:t>ST</w:t>
      </w:r>
      <w:r w:rsidR="00D00E2B">
        <w:t xml:space="preserve"> II-II, q. 47, a. 3, </w:t>
      </w:r>
      <w:r w:rsidR="00D00E2B" w:rsidRPr="00D00E2B">
        <w:rPr>
          <w:i/>
        </w:rPr>
        <w:t>Responsio</w:t>
      </w:r>
      <w:r>
        <w:t>.</w:t>
      </w:r>
    </w:p>
  </w:footnote>
  <w:footnote w:id="236">
    <w:p w:rsidR="00E0141C" w:rsidRDefault="00E0141C">
      <w:pPr>
        <w:pStyle w:val="FootnoteText"/>
      </w:pPr>
      <w:r>
        <w:rPr>
          <w:rStyle w:val="FootnoteReference"/>
        </w:rPr>
        <w:footnoteRef/>
      </w:r>
      <w:r>
        <w:t xml:space="preserve"> </w:t>
      </w:r>
      <w:r w:rsidRPr="00642FF2">
        <w:rPr>
          <w:i/>
        </w:rPr>
        <w:t>ST</w:t>
      </w:r>
      <w:r>
        <w:t xml:space="preserve"> II-II, q. 47, a. 5.</w:t>
      </w:r>
    </w:p>
  </w:footnote>
  <w:footnote w:id="237">
    <w:p w:rsidR="00E0141C" w:rsidRDefault="00E0141C">
      <w:pPr>
        <w:pStyle w:val="FootnoteText"/>
      </w:pPr>
      <w:r>
        <w:rPr>
          <w:rStyle w:val="FootnoteReference"/>
        </w:rPr>
        <w:footnoteRef/>
      </w:r>
      <w:r>
        <w:t xml:space="preserve"> </w:t>
      </w:r>
      <w:r w:rsidRPr="00642FF2">
        <w:rPr>
          <w:i/>
        </w:rPr>
        <w:t>ST</w:t>
      </w:r>
      <w:r>
        <w:t xml:space="preserve"> II-II, q. 47, a. 4.</w:t>
      </w:r>
    </w:p>
  </w:footnote>
  <w:footnote w:id="238">
    <w:p w:rsidR="00E0141C" w:rsidRDefault="00E0141C">
      <w:pPr>
        <w:pStyle w:val="FootnoteText"/>
      </w:pPr>
      <w:r>
        <w:rPr>
          <w:rStyle w:val="FootnoteReference"/>
        </w:rPr>
        <w:footnoteRef/>
      </w:r>
      <w:r>
        <w:t xml:space="preserve"> </w:t>
      </w:r>
      <w:r w:rsidRPr="00642FF2">
        <w:rPr>
          <w:i/>
        </w:rPr>
        <w:t>ST</w:t>
      </w:r>
      <w:r>
        <w:t xml:space="preserve"> II-II, q. 47, a. 13.</w:t>
      </w:r>
    </w:p>
  </w:footnote>
  <w:footnote w:id="239">
    <w:p w:rsidR="00E0141C" w:rsidRDefault="00E0141C">
      <w:pPr>
        <w:pStyle w:val="FootnoteText"/>
      </w:pPr>
      <w:r>
        <w:rPr>
          <w:rStyle w:val="FootnoteReference"/>
        </w:rPr>
        <w:footnoteRef/>
      </w:r>
      <w:r>
        <w:t xml:space="preserve"> </w:t>
      </w:r>
      <w:r w:rsidRPr="0068280E">
        <w:rPr>
          <w:i/>
        </w:rPr>
        <w:t>ST</w:t>
      </w:r>
      <w:r>
        <w:t xml:space="preserve"> II-II, q. 55, a. 1</w:t>
      </w:r>
      <w:r w:rsidR="00D00E2B">
        <w:t xml:space="preserve">, </w:t>
      </w:r>
      <w:r w:rsidR="00D00E2B" w:rsidRPr="00D00E2B">
        <w:rPr>
          <w:i/>
        </w:rPr>
        <w:t>Responsio</w:t>
      </w:r>
      <w:r>
        <w:t>.</w:t>
      </w:r>
    </w:p>
  </w:footnote>
  <w:footnote w:id="240">
    <w:p w:rsidR="00E0141C" w:rsidRDefault="00E0141C">
      <w:pPr>
        <w:pStyle w:val="FootnoteText"/>
      </w:pPr>
      <w:r>
        <w:rPr>
          <w:rStyle w:val="FootnoteReference"/>
        </w:rPr>
        <w:footnoteRef/>
      </w:r>
      <w:r>
        <w:t xml:space="preserve"> </w:t>
      </w:r>
      <w:r w:rsidRPr="00FB1A4A">
        <w:rPr>
          <w:i/>
        </w:rPr>
        <w:t>ST</w:t>
      </w:r>
      <w:r>
        <w:t xml:space="preserve"> II-II, q. 47, a. 6.</w:t>
      </w:r>
    </w:p>
  </w:footnote>
  <w:footnote w:id="241">
    <w:p w:rsidR="00E0141C" w:rsidRDefault="00E0141C">
      <w:pPr>
        <w:pStyle w:val="FootnoteText"/>
      </w:pPr>
      <w:r>
        <w:rPr>
          <w:rStyle w:val="FootnoteReference"/>
        </w:rPr>
        <w:footnoteRef/>
      </w:r>
      <w:r w:rsidRPr="00FB1A4A">
        <w:rPr>
          <w:i/>
        </w:rPr>
        <w:t xml:space="preserve"> ST</w:t>
      </w:r>
      <w:r>
        <w:t xml:space="preserve"> II-II, q. 47, a. 15</w:t>
      </w:r>
      <w:r w:rsidR="00D00E2B">
        <w:t xml:space="preserve">, </w:t>
      </w:r>
      <w:r w:rsidR="00D00E2B" w:rsidRPr="00D00E2B">
        <w:rPr>
          <w:i/>
        </w:rPr>
        <w:t>Sed Contra</w:t>
      </w:r>
      <w:r>
        <w:t>.</w:t>
      </w:r>
    </w:p>
  </w:footnote>
  <w:footnote w:id="242">
    <w:p w:rsidR="00E0141C" w:rsidRPr="00D00E2B" w:rsidRDefault="00E0141C">
      <w:pPr>
        <w:pStyle w:val="FootnoteText"/>
      </w:pPr>
      <w:r>
        <w:rPr>
          <w:rStyle w:val="FootnoteReference"/>
        </w:rPr>
        <w:footnoteRef/>
      </w:r>
      <w:r>
        <w:t xml:space="preserve"> </w:t>
      </w:r>
      <w:r w:rsidR="00D00E2B">
        <w:rPr>
          <w:i/>
        </w:rPr>
        <w:t>ST</w:t>
      </w:r>
      <w:r w:rsidR="00D00E2B">
        <w:t xml:space="preserve"> II-II, q. 47, a. 15, </w:t>
      </w:r>
      <w:r w:rsidR="00D00E2B" w:rsidRPr="00D00E2B">
        <w:rPr>
          <w:i/>
        </w:rPr>
        <w:t>Responsio</w:t>
      </w:r>
      <w:r w:rsidR="00D00E2B">
        <w:t>.</w:t>
      </w:r>
    </w:p>
  </w:footnote>
  <w:footnote w:id="243">
    <w:p w:rsidR="00E0141C" w:rsidRDefault="00E0141C">
      <w:pPr>
        <w:pStyle w:val="FootnoteText"/>
      </w:pPr>
      <w:r>
        <w:rPr>
          <w:rStyle w:val="FootnoteReference"/>
        </w:rPr>
        <w:footnoteRef/>
      </w:r>
      <w:r>
        <w:t xml:space="preserve"> </w:t>
      </w:r>
      <w:r w:rsidRPr="00FB1A4A">
        <w:rPr>
          <w:i/>
        </w:rPr>
        <w:t>ST</w:t>
      </w:r>
      <w:r>
        <w:t xml:space="preserve"> II-II, q. 47, a. 1</w:t>
      </w:r>
      <w:r w:rsidR="00D00E2B">
        <w:t xml:space="preserve">, </w:t>
      </w:r>
      <w:r w:rsidR="00D00E2B" w:rsidRPr="00D00E2B">
        <w:rPr>
          <w:i/>
        </w:rPr>
        <w:t>Responsio</w:t>
      </w:r>
      <w:r>
        <w:t>.</w:t>
      </w:r>
    </w:p>
  </w:footnote>
  <w:footnote w:id="244">
    <w:p w:rsidR="00E0141C" w:rsidRDefault="00E0141C">
      <w:pPr>
        <w:pStyle w:val="FootnoteText"/>
      </w:pPr>
      <w:r>
        <w:rPr>
          <w:rStyle w:val="FootnoteReference"/>
        </w:rPr>
        <w:footnoteRef/>
      </w:r>
      <w:r>
        <w:t xml:space="preserve"> </w:t>
      </w:r>
      <w:r w:rsidRPr="00FB1A4A">
        <w:rPr>
          <w:i/>
        </w:rPr>
        <w:t>ST</w:t>
      </w:r>
      <w:r>
        <w:t xml:space="preserve"> II-II, q. 52, a. 1</w:t>
      </w:r>
      <w:r w:rsidR="00515408">
        <w:t xml:space="preserve">, </w:t>
      </w:r>
      <w:r w:rsidR="00515408" w:rsidRPr="004E3188">
        <w:rPr>
          <w:i/>
        </w:rPr>
        <w:t>ad</w:t>
      </w:r>
      <w:r w:rsidR="00515408">
        <w:t xml:space="preserve"> 1</w:t>
      </w:r>
      <w:r>
        <w:t>.</w:t>
      </w:r>
    </w:p>
  </w:footnote>
  <w:footnote w:id="245">
    <w:p w:rsidR="00E0141C" w:rsidRPr="00515408" w:rsidRDefault="00E0141C">
      <w:pPr>
        <w:pStyle w:val="FootnoteText"/>
      </w:pPr>
      <w:r>
        <w:rPr>
          <w:rStyle w:val="FootnoteReference"/>
        </w:rPr>
        <w:footnoteRef/>
      </w:r>
      <w:r>
        <w:t xml:space="preserve"> </w:t>
      </w:r>
      <w:r w:rsidR="00515408">
        <w:rPr>
          <w:i/>
        </w:rPr>
        <w:t>ST</w:t>
      </w:r>
      <w:r w:rsidR="00515408">
        <w:t xml:space="preserve"> II-II, q. 52, a. 1, </w:t>
      </w:r>
      <w:r w:rsidR="00515408" w:rsidRPr="004E3188">
        <w:rPr>
          <w:i/>
        </w:rPr>
        <w:t>ad</w:t>
      </w:r>
      <w:r w:rsidR="00515408">
        <w:t xml:space="preserve"> 2.</w:t>
      </w:r>
    </w:p>
  </w:footnote>
  <w:footnote w:id="246">
    <w:p w:rsidR="00E0141C" w:rsidRPr="00515408" w:rsidRDefault="00E0141C">
      <w:pPr>
        <w:pStyle w:val="FootnoteText"/>
      </w:pPr>
      <w:r>
        <w:rPr>
          <w:rStyle w:val="FootnoteReference"/>
        </w:rPr>
        <w:footnoteRef/>
      </w:r>
      <w:r>
        <w:t xml:space="preserve"> </w:t>
      </w:r>
      <w:r w:rsidR="00515408">
        <w:rPr>
          <w:i/>
        </w:rPr>
        <w:t>ST</w:t>
      </w:r>
      <w:r w:rsidR="00515408">
        <w:t xml:space="preserve"> II-II, q. 52, a. 1, </w:t>
      </w:r>
      <w:r w:rsidR="00515408" w:rsidRPr="004E3188">
        <w:rPr>
          <w:i/>
        </w:rPr>
        <w:t>ad</w:t>
      </w:r>
      <w:r w:rsidR="00515408">
        <w:t xml:space="preserve"> 3.</w:t>
      </w:r>
    </w:p>
  </w:footnote>
  <w:footnote w:id="247">
    <w:p w:rsidR="00E0141C" w:rsidRDefault="00E0141C">
      <w:pPr>
        <w:pStyle w:val="FootnoteText"/>
      </w:pPr>
      <w:r>
        <w:rPr>
          <w:rStyle w:val="FootnoteReference"/>
        </w:rPr>
        <w:footnoteRef/>
      </w:r>
      <w:r>
        <w:t xml:space="preserve"> </w:t>
      </w:r>
      <w:r w:rsidRPr="00FB1A4A">
        <w:rPr>
          <w:i/>
        </w:rPr>
        <w:t>ST</w:t>
      </w:r>
      <w:r>
        <w:t xml:space="preserve"> II-II, q. 52, a. 2</w:t>
      </w:r>
      <w:r w:rsidR="00515408">
        <w:t xml:space="preserve">, </w:t>
      </w:r>
      <w:r w:rsidR="00515408" w:rsidRPr="00515408">
        <w:rPr>
          <w:i/>
        </w:rPr>
        <w:t>Responsio</w:t>
      </w:r>
      <w:r>
        <w:t>.</w:t>
      </w:r>
    </w:p>
  </w:footnote>
  <w:footnote w:id="248">
    <w:p w:rsidR="00E0141C" w:rsidRDefault="00E0141C">
      <w:pPr>
        <w:pStyle w:val="FootnoteText"/>
      </w:pPr>
      <w:r>
        <w:rPr>
          <w:rStyle w:val="FootnoteReference"/>
        </w:rPr>
        <w:footnoteRef/>
      </w:r>
      <w:r>
        <w:t xml:space="preserve"> </w:t>
      </w:r>
      <w:r w:rsidRPr="00FB1A4A">
        <w:rPr>
          <w:i/>
        </w:rPr>
        <w:t>ST</w:t>
      </w:r>
      <w:r>
        <w:t xml:space="preserve"> II-II, q. 52, a. 3</w:t>
      </w:r>
      <w:r w:rsidR="00515408">
        <w:t xml:space="preserve">, </w:t>
      </w:r>
      <w:r w:rsidR="00515408" w:rsidRPr="00515408">
        <w:rPr>
          <w:i/>
        </w:rPr>
        <w:t>Responsio</w:t>
      </w:r>
      <w:r>
        <w:t>.</w:t>
      </w:r>
    </w:p>
  </w:footnote>
  <w:footnote w:id="249">
    <w:p w:rsidR="00E0141C" w:rsidRDefault="00E0141C">
      <w:pPr>
        <w:pStyle w:val="FootnoteText"/>
      </w:pPr>
      <w:r>
        <w:rPr>
          <w:rStyle w:val="FootnoteReference"/>
        </w:rPr>
        <w:footnoteRef/>
      </w:r>
      <w:r>
        <w:t xml:space="preserve"> </w:t>
      </w:r>
      <w:r w:rsidRPr="00FB1A4A">
        <w:rPr>
          <w:i/>
        </w:rPr>
        <w:t>ST</w:t>
      </w:r>
      <w:r>
        <w:t xml:space="preserve"> II-II, q. 47, a. 8.</w:t>
      </w:r>
    </w:p>
  </w:footnote>
  <w:footnote w:id="250">
    <w:p w:rsidR="00E0141C" w:rsidRPr="00515408" w:rsidRDefault="00E0141C">
      <w:pPr>
        <w:pStyle w:val="FootnoteText"/>
      </w:pPr>
      <w:r>
        <w:rPr>
          <w:rStyle w:val="FootnoteReference"/>
        </w:rPr>
        <w:footnoteRef/>
      </w:r>
      <w:r>
        <w:t xml:space="preserve"> </w:t>
      </w:r>
      <w:r w:rsidR="00515408">
        <w:rPr>
          <w:i/>
        </w:rPr>
        <w:t>ST</w:t>
      </w:r>
      <w:r w:rsidR="00515408">
        <w:t xml:space="preserve"> II-II, q. 47, a. 8, </w:t>
      </w:r>
      <w:r w:rsidR="00515408" w:rsidRPr="00515408">
        <w:rPr>
          <w:i/>
        </w:rPr>
        <w:t>Responsio</w:t>
      </w:r>
      <w:r w:rsidR="00515408">
        <w:t>.</w:t>
      </w:r>
    </w:p>
  </w:footnote>
  <w:footnote w:id="251">
    <w:p w:rsidR="00E0141C" w:rsidRDefault="00E0141C">
      <w:pPr>
        <w:pStyle w:val="FootnoteText"/>
      </w:pPr>
      <w:r>
        <w:rPr>
          <w:rStyle w:val="FootnoteReference"/>
        </w:rPr>
        <w:footnoteRef/>
      </w:r>
      <w:r>
        <w:t xml:space="preserve"> </w:t>
      </w:r>
      <w:r w:rsidRPr="00EE28F8">
        <w:rPr>
          <w:i/>
        </w:rPr>
        <w:t>ST</w:t>
      </w:r>
      <w:r>
        <w:t xml:space="preserve"> I-II</w:t>
      </w:r>
      <w:r w:rsidRPr="00176DDC">
        <w:t>, q. 17</w:t>
      </w:r>
      <w:r>
        <w:t>, a. 1.</w:t>
      </w:r>
    </w:p>
  </w:footnote>
  <w:footnote w:id="252">
    <w:p w:rsidR="00E0141C" w:rsidRDefault="00E0141C">
      <w:pPr>
        <w:pStyle w:val="FootnoteText"/>
      </w:pPr>
      <w:r>
        <w:rPr>
          <w:rStyle w:val="FootnoteReference"/>
        </w:rPr>
        <w:footnoteRef/>
      </w:r>
      <w:r>
        <w:t xml:space="preserve"> </w:t>
      </w:r>
      <w:r w:rsidRPr="00EE28F8">
        <w:rPr>
          <w:i/>
        </w:rPr>
        <w:t>ST</w:t>
      </w:r>
      <w:r>
        <w:t xml:space="preserve"> II-II, q. 47, a. 13.</w:t>
      </w:r>
    </w:p>
  </w:footnote>
  <w:footnote w:id="253">
    <w:p w:rsidR="00E0141C" w:rsidRPr="00515408" w:rsidRDefault="00E0141C">
      <w:pPr>
        <w:pStyle w:val="FootnoteText"/>
      </w:pPr>
      <w:r>
        <w:rPr>
          <w:rStyle w:val="FootnoteReference"/>
        </w:rPr>
        <w:footnoteRef/>
      </w:r>
      <w:r>
        <w:t xml:space="preserve"> </w:t>
      </w:r>
      <w:r w:rsidR="00515408">
        <w:rPr>
          <w:i/>
        </w:rPr>
        <w:t>ST</w:t>
      </w:r>
      <w:r w:rsidR="00515408">
        <w:t xml:space="preserve"> II-II, q. 47, a. 13, </w:t>
      </w:r>
      <w:r w:rsidR="00515408" w:rsidRPr="00515408">
        <w:rPr>
          <w:i/>
        </w:rPr>
        <w:t>Responsio</w:t>
      </w:r>
    </w:p>
  </w:footnote>
  <w:footnote w:id="254">
    <w:p w:rsidR="00E0141C" w:rsidRDefault="00E0141C">
      <w:pPr>
        <w:pStyle w:val="FootnoteText"/>
      </w:pPr>
      <w:r>
        <w:rPr>
          <w:rStyle w:val="FootnoteReference"/>
        </w:rPr>
        <w:footnoteRef/>
      </w:r>
      <w:r>
        <w:t xml:space="preserve"> </w:t>
      </w:r>
      <w:r w:rsidRPr="00642FF2">
        <w:rPr>
          <w:i/>
        </w:rPr>
        <w:t>ST</w:t>
      </w:r>
      <w:r>
        <w:t xml:space="preserve"> II-II, q. 53, a. 3</w:t>
      </w:r>
      <w:r w:rsidR="00515408">
        <w:t xml:space="preserve">, </w:t>
      </w:r>
      <w:r w:rsidR="00515408" w:rsidRPr="00CC7D45">
        <w:rPr>
          <w:i/>
        </w:rPr>
        <w:t>Responsio</w:t>
      </w:r>
      <w:r>
        <w:t>.</w:t>
      </w:r>
    </w:p>
  </w:footnote>
  <w:footnote w:id="255">
    <w:p w:rsidR="00E0141C" w:rsidRDefault="00E0141C">
      <w:pPr>
        <w:pStyle w:val="FootnoteText"/>
      </w:pPr>
      <w:r>
        <w:rPr>
          <w:rStyle w:val="FootnoteReference"/>
        </w:rPr>
        <w:footnoteRef/>
      </w:r>
      <w:r>
        <w:t xml:space="preserve"> </w:t>
      </w:r>
      <w:r w:rsidRPr="00642FF2">
        <w:rPr>
          <w:i/>
        </w:rPr>
        <w:t>ST</w:t>
      </w:r>
      <w:r>
        <w:t xml:space="preserve"> I-II, q. 57, a. 4</w:t>
      </w:r>
      <w:r w:rsidR="007059DB">
        <w:t xml:space="preserve">, </w:t>
      </w:r>
      <w:r w:rsidR="007059DB" w:rsidRPr="007059DB">
        <w:rPr>
          <w:i/>
        </w:rPr>
        <w:t>Responsio</w:t>
      </w:r>
      <w:r>
        <w:t>.</w:t>
      </w:r>
    </w:p>
  </w:footnote>
  <w:footnote w:id="256">
    <w:p w:rsidR="00E0141C" w:rsidRDefault="00E0141C">
      <w:pPr>
        <w:pStyle w:val="FootnoteText"/>
      </w:pPr>
      <w:r>
        <w:rPr>
          <w:rStyle w:val="FootnoteReference"/>
        </w:rPr>
        <w:footnoteRef/>
      </w:r>
      <w:r>
        <w:t xml:space="preserve"> Daniel Berrigan, S.J., </w:t>
      </w:r>
      <w:r w:rsidRPr="009205ED">
        <w:rPr>
          <w:i/>
        </w:rPr>
        <w:t>Night Flight to Hanoi</w:t>
      </w:r>
      <w:r>
        <w:t xml:space="preserve"> (New York:  Macmillan, 1968), p. xvi.</w:t>
      </w:r>
    </w:p>
  </w:footnote>
  <w:footnote w:id="257">
    <w:p w:rsidR="00E0141C" w:rsidRDefault="00E0141C">
      <w:pPr>
        <w:pStyle w:val="FootnoteText"/>
      </w:pPr>
      <w:r>
        <w:rPr>
          <w:rStyle w:val="FootnoteReference"/>
        </w:rPr>
        <w:footnoteRef/>
      </w:r>
      <w:r>
        <w:t xml:space="preserve"> Bernard J. F. Lonergan, S.J., </w:t>
      </w:r>
      <w:r w:rsidRPr="00C546FE">
        <w:rPr>
          <w:i/>
        </w:rPr>
        <w:t>Insight:  A Study of Human Understanding</w:t>
      </w:r>
      <w:r>
        <w:t xml:space="preserve"> (cf. n. 10 </w:t>
      </w:r>
      <w:r w:rsidRPr="00C546FE">
        <w:rPr>
          <w:i/>
        </w:rPr>
        <w:t>supra</w:t>
      </w:r>
      <w:r>
        <w:t>), pp. 645-647.</w:t>
      </w:r>
    </w:p>
  </w:footnote>
  <w:footnote w:id="258">
    <w:p w:rsidR="00E0141C" w:rsidRDefault="00E0141C">
      <w:pPr>
        <w:pStyle w:val="FootnoteText"/>
      </w:pPr>
      <w:r>
        <w:rPr>
          <w:rStyle w:val="FootnoteReference"/>
        </w:rPr>
        <w:footnoteRef/>
      </w:r>
      <w:r>
        <w:t xml:space="preserve"> For those who are so free, and judge themselves so called, the communion of Courage is a beautiful gift.  If only the Church could become sufficiently catholic that we could recognize the equally real courage of members of Dignity, as well as the very real dignity of members of Courage.</w:t>
      </w:r>
    </w:p>
  </w:footnote>
  <w:footnote w:id="259">
    <w:p w:rsidR="00E0141C" w:rsidRDefault="00E0141C">
      <w:pPr>
        <w:pStyle w:val="FootnoteText"/>
      </w:pPr>
      <w:r>
        <w:rPr>
          <w:rStyle w:val="FootnoteReference"/>
        </w:rPr>
        <w:footnoteRef/>
      </w:r>
      <w:r>
        <w:t xml:space="preserve"> Mt 7.28-29.</w:t>
      </w:r>
    </w:p>
  </w:footnote>
  <w:footnote w:id="260">
    <w:p w:rsidR="00E0141C" w:rsidRDefault="00E0141C">
      <w:pPr>
        <w:pStyle w:val="FootnoteText"/>
      </w:pPr>
      <w:r>
        <w:rPr>
          <w:rStyle w:val="FootnoteReference"/>
        </w:rPr>
        <w:footnoteRef/>
      </w:r>
      <w:r>
        <w:t xml:space="preserve"> Mt 26.52.  Is there not ecclesiological significance in the fact that these words were addressed to Peter?</w:t>
      </w:r>
    </w:p>
  </w:footnote>
  <w:footnote w:id="261">
    <w:p w:rsidR="00E0141C" w:rsidRDefault="00E0141C">
      <w:pPr>
        <w:pStyle w:val="FootnoteText"/>
      </w:pPr>
      <w:r>
        <w:rPr>
          <w:rStyle w:val="FootnoteReference"/>
        </w:rPr>
        <w:footnoteRef/>
      </w:r>
      <w:r>
        <w:t xml:space="preserve"> </w:t>
      </w:r>
      <w:r w:rsidRPr="000B248E">
        <w:t xml:space="preserve">Mark D. Jordan, </w:t>
      </w:r>
      <w:r w:rsidRPr="000B248E">
        <w:rPr>
          <w:i/>
        </w:rPr>
        <w:t>The Silence of Sodom:  Homosexuality in Modern Catholicism</w:t>
      </w:r>
      <w:r w:rsidRPr="000B248E">
        <w:t xml:space="preserve"> (Chicago:  University of Chicago Press, 2000), pp. 198-200.</w:t>
      </w:r>
    </w:p>
  </w:footnote>
  <w:footnote w:id="262">
    <w:p w:rsidR="00E0141C" w:rsidRDefault="00E0141C">
      <w:pPr>
        <w:pStyle w:val="FootnoteText"/>
      </w:pPr>
      <w:r>
        <w:rPr>
          <w:rStyle w:val="FootnoteReference"/>
        </w:rPr>
        <w:footnoteRef/>
      </w:r>
      <w:r>
        <w:t xml:space="preserve"> </w:t>
      </w:r>
      <w:r w:rsidRPr="00486723">
        <w:rPr>
          <w:i/>
        </w:rPr>
        <w:t>Ibid</w:t>
      </w:r>
      <w:r>
        <w:t>., p. 3.</w:t>
      </w:r>
    </w:p>
  </w:footnote>
  <w:footnote w:id="263">
    <w:p w:rsidR="00E0141C" w:rsidRDefault="00E0141C">
      <w:pPr>
        <w:pStyle w:val="FootnoteText"/>
      </w:pPr>
      <w:r>
        <w:rPr>
          <w:rStyle w:val="FootnoteReference"/>
        </w:rPr>
        <w:footnoteRef/>
      </w:r>
      <w:r>
        <w:t xml:space="preserve"> John Navone, S.J., “The Dynamic of the Question in the Gospel,” </w:t>
      </w:r>
      <w:r w:rsidRPr="005235A1">
        <w:rPr>
          <w:i/>
        </w:rPr>
        <w:t>Milltown Studies</w:t>
      </w:r>
      <w:r>
        <w:t xml:space="preserve"> 17 (Spring 1986), pp. 75-111.</w:t>
      </w:r>
    </w:p>
  </w:footnote>
  <w:footnote w:id="264">
    <w:p w:rsidR="00E0141C" w:rsidRDefault="00E0141C">
      <w:pPr>
        <w:pStyle w:val="FootnoteText"/>
      </w:pPr>
      <w:r>
        <w:rPr>
          <w:rStyle w:val="FootnoteReference"/>
        </w:rPr>
        <w:footnoteRef/>
      </w:r>
      <w:r>
        <w:t xml:space="preserve"> Jason Berry and Gerald Renner, </w:t>
      </w:r>
      <w:r w:rsidRPr="001B4CEF">
        <w:rPr>
          <w:i/>
        </w:rPr>
        <w:t>Vows of Silence:  The Abuse of Power in the Papacy of John Paul II</w:t>
      </w:r>
      <w:r>
        <w:t xml:space="preserve"> (New York:  Free Press, 2004), pp. 125-221</w:t>
      </w:r>
      <w:r w:rsidR="00BC3C58">
        <w:t>, 294-300.</w:t>
      </w:r>
    </w:p>
  </w:footnote>
  <w:footnote w:id="265">
    <w:p w:rsidR="00E0141C" w:rsidRDefault="00E0141C">
      <w:pPr>
        <w:pStyle w:val="FootnoteText"/>
      </w:pPr>
      <w:r>
        <w:rPr>
          <w:rStyle w:val="FootnoteReference"/>
        </w:rPr>
        <w:footnoteRef/>
      </w:r>
      <w:r>
        <w:t xml:space="preserve"> At the time of writing, of course, Karol Wojtyla was in the Polish ‘opposition.’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E401D"/>
    <w:multiLevelType w:val="hybridMultilevel"/>
    <w:tmpl w:val="C3342374"/>
    <w:lvl w:ilvl="0" w:tplc="A60EFD0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B13F1"/>
    <w:multiLevelType w:val="hybridMultilevel"/>
    <w:tmpl w:val="80C202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8D43BBF"/>
    <w:multiLevelType w:val="hybridMultilevel"/>
    <w:tmpl w:val="7AFA52E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44A2969"/>
    <w:multiLevelType w:val="hybridMultilevel"/>
    <w:tmpl w:val="9D9A9CEE"/>
    <w:lvl w:ilvl="0" w:tplc="0409000F">
      <w:start w:val="1"/>
      <w:numFmt w:val="decimal"/>
      <w:lvlText w:val="%1."/>
      <w:lvlJc w:val="left"/>
      <w:pPr>
        <w:ind w:left="1446" w:hanging="360"/>
      </w:pPr>
      <w:rPr>
        <w:rFont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3E561F77"/>
    <w:multiLevelType w:val="hybridMultilevel"/>
    <w:tmpl w:val="BDAE3F6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525556B0"/>
    <w:multiLevelType w:val="hybridMultilevel"/>
    <w:tmpl w:val="9E744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F80745"/>
    <w:multiLevelType w:val="hybridMultilevel"/>
    <w:tmpl w:val="39920536"/>
    <w:lvl w:ilvl="0" w:tplc="A60EFD0E">
      <w:start w:val="1"/>
      <w:numFmt w:val="bullet"/>
      <w:lvlText w:val="-"/>
      <w:lvlJc w:val="left"/>
      <w:pPr>
        <w:ind w:left="1446" w:hanging="360"/>
      </w:pPr>
      <w:rPr>
        <w:rFonts w:ascii="Courier New" w:hAnsi="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60626D7B"/>
    <w:multiLevelType w:val="hybridMultilevel"/>
    <w:tmpl w:val="C9204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6F75DB"/>
    <w:multiLevelType w:val="hybridMultilevel"/>
    <w:tmpl w:val="55622896"/>
    <w:lvl w:ilvl="0" w:tplc="6F92B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9B4513"/>
    <w:multiLevelType w:val="hybridMultilevel"/>
    <w:tmpl w:val="4A4E1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B607754"/>
    <w:multiLevelType w:val="hybridMultilevel"/>
    <w:tmpl w:val="22ECFAE8"/>
    <w:lvl w:ilvl="0" w:tplc="6F92BF14">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8"/>
  </w:num>
  <w:num w:numId="7">
    <w:abstractNumId w:val="9"/>
  </w:num>
  <w:num w:numId="8">
    <w:abstractNumId w:val="5"/>
  </w:num>
  <w:num w:numId="9">
    <w:abstractNumId w:val="7"/>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D336A9"/>
    <w:rsid w:val="00000234"/>
    <w:rsid w:val="00000489"/>
    <w:rsid w:val="00001CFB"/>
    <w:rsid w:val="00002C32"/>
    <w:rsid w:val="00003046"/>
    <w:rsid w:val="000038AE"/>
    <w:rsid w:val="00004A1A"/>
    <w:rsid w:val="00004C0B"/>
    <w:rsid w:val="0000587D"/>
    <w:rsid w:val="0001011E"/>
    <w:rsid w:val="00010926"/>
    <w:rsid w:val="00011D58"/>
    <w:rsid w:val="000137D7"/>
    <w:rsid w:val="00014D72"/>
    <w:rsid w:val="00016329"/>
    <w:rsid w:val="0001636B"/>
    <w:rsid w:val="00017441"/>
    <w:rsid w:val="000179B7"/>
    <w:rsid w:val="00021331"/>
    <w:rsid w:val="000219DD"/>
    <w:rsid w:val="00022E44"/>
    <w:rsid w:val="00024F8E"/>
    <w:rsid w:val="0002510E"/>
    <w:rsid w:val="000251F6"/>
    <w:rsid w:val="00026167"/>
    <w:rsid w:val="00027C16"/>
    <w:rsid w:val="00030C38"/>
    <w:rsid w:val="00031ECA"/>
    <w:rsid w:val="0003354E"/>
    <w:rsid w:val="000344AC"/>
    <w:rsid w:val="00036B8E"/>
    <w:rsid w:val="00037596"/>
    <w:rsid w:val="000409E7"/>
    <w:rsid w:val="00041BE1"/>
    <w:rsid w:val="00041CFE"/>
    <w:rsid w:val="000427B8"/>
    <w:rsid w:val="0004354F"/>
    <w:rsid w:val="00044978"/>
    <w:rsid w:val="0004544A"/>
    <w:rsid w:val="00047662"/>
    <w:rsid w:val="00050E89"/>
    <w:rsid w:val="00051B56"/>
    <w:rsid w:val="00051DC9"/>
    <w:rsid w:val="0005237F"/>
    <w:rsid w:val="00052F11"/>
    <w:rsid w:val="000543FC"/>
    <w:rsid w:val="00054605"/>
    <w:rsid w:val="00055991"/>
    <w:rsid w:val="000577E4"/>
    <w:rsid w:val="00064883"/>
    <w:rsid w:val="000651C8"/>
    <w:rsid w:val="0006598F"/>
    <w:rsid w:val="00065B16"/>
    <w:rsid w:val="0006673B"/>
    <w:rsid w:val="00067CF2"/>
    <w:rsid w:val="00067F99"/>
    <w:rsid w:val="0007121B"/>
    <w:rsid w:val="0007126C"/>
    <w:rsid w:val="00071BF1"/>
    <w:rsid w:val="000721BD"/>
    <w:rsid w:val="0007243B"/>
    <w:rsid w:val="00072479"/>
    <w:rsid w:val="00072525"/>
    <w:rsid w:val="00073461"/>
    <w:rsid w:val="00073C3F"/>
    <w:rsid w:val="0007639F"/>
    <w:rsid w:val="00076501"/>
    <w:rsid w:val="000808D2"/>
    <w:rsid w:val="00081509"/>
    <w:rsid w:val="000816DF"/>
    <w:rsid w:val="0008286E"/>
    <w:rsid w:val="00082BA4"/>
    <w:rsid w:val="00082D75"/>
    <w:rsid w:val="00083ACE"/>
    <w:rsid w:val="00084237"/>
    <w:rsid w:val="00084AC2"/>
    <w:rsid w:val="00084EFB"/>
    <w:rsid w:val="0008586D"/>
    <w:rsid w:val="0008638E"/>
    <w:rsid w:val="000867BE"/>
    <w:rsid w:val="00090002"/>
    <w:rsid w:val="00091547"/>
    <w:rsid w:val="000919B8"/>
    <w:rsid w:val="000957A4"/>
    <w:rsid w:val="00095801"/>
    <w:rsid w:val="00096368"/>
    <w:rsid w:val="00096619"/>
    <w:rsid w:val="000A0205"/>
    <w:rsid w:val="000A04E5"/>
    <w:rsid w:val="000A0E7A"/>
    <w:rsid w:val="000A1B0A"/>
    <w:rsid w:val="000A1CA4"/>
    <w:rsid w:val="000A2B8E"/>
    <w:rsid w:val="000A325D"/>
    <w:rsid w:val="000A3C1C"/>
    <w:rsid w:val="000A441E"/>
    <w:rsid w:val="000A4D65"/>
    <w:rsid w:val="000A5889"/>
    <w:rsid w:val="000A6B19"/>
    <w:rsid w:val="000A7197"/>
    <w:rsid w:val="000A7E36"/>
    <w:rsid w:val="000B1964"/>
    <w:rsid w:val="000B2186"/>
    <w:rsid w:val="000B248E"/>
    <w:rsid w:val="000B3B68"/>
    <w:rsid w:val="000B54D8"/>
    <w:rsid w:val="000B5DDE"/>
    <w:rsid w:val="000B614B"/>
    <w:rsid w:val="000B61C1"/>
    <w:rsid w:val="000B6778"/>
    <w:rsid w:val="000B732F"/>
    <w:rsid w:val="000B7B8F"/>
    <w:rsid w:val="000C0406"/>
    <w:rsid w:val="000C24BC"/>
    <w:rsid w:val="000C31CE"/>
    <w:rsid w:val="000C3F15"/>
    <w:rsid w:val="000C42CF"/>
    <w:rsid w:val="000C514D"/>
    <w:rsid w:val="000C5898"/>
    <w:rsid w:val="000C661E"/>
    <w:rsid w:val="000C6FC7"/>
    <w:rsid w:val="000C7AF9"/>
    <w:rsid w:val="000D080E"/>
    <w:rsid w:val="000D0CAC"/>
    <w:rsid w:val="000D0D92"/>
    <w:rsid w:val="000D3101"/>
    <w:rsid w:val="000D4513"/>
    <w:rsid w:val="000D5196"/>
    <w:rsid w:val="000D7929"/>
    <w:rsid w:val="000D79B5"/>
    <w:rsid w:val="000E022B"/>
    <w:rsid w:val="000E0A0E"/>
    <w:rsid w:val="000E0BF6"/>
    <w:rsid w:val="000E104B"/>
    <w:rsid w:val="000E18C5"/>
    <w:rsid w:val="000E1F4A"/>
    <w:rsid w:val="000E244E"/>
    <w:rsid w:val="000E279C"/>
    <w:rsid w:val="000E31FD"/>
    <w:rsid w:val="000E4EE6"/>
    <w:rsid w:val="000E51E4"/>
    <w:rsid w:val="000E62DF"/>
    <w:rsid w:val="000E7999"/>
    <w:rsid w:val="000F0617"/>
    <w:rsid w:val="000F0F17"/>
    <w:rsid w:val="000F2131"/>
    <w:rsid w:val="000F2891"/>
    <w:rsid w:val="000F37F2"/>
    <w:rsid w:val="000F448A"/>
    <w:rsid w:val="000F4610"/>
    <w:rsid w:val="000F4615"/>
    <w:rsid w:val="000F5966"/>
    <w:rsid w:val="000F5E79"/>
    <w:rsid w:val="000F6536"/>
    <w:rsid w:val="000F6DEE"/>
    <w:rsid w:val="0010052C"/>
    <w:rsid w:val="00100E6B"/>
    <w:rsid w:val="00101805"/>
    <w:rsid w:val="00102602"/>
    <w:rsid w:val="0010432C"/>
    <w:rsid w:val="0010432E"/>
    <w:rsid w:val="00105754"/>
    <w:rsid w:val="001067F6"/>
    <w:rsid w:val="00106885"/>
    <w:rsid w:val="00110A3B"/>
    <w:rsid w:val="00110B61"/>
    <w:rsid w:val="00113CAD"/>
    <w:rsid w:val="00114999"/>
    <w:rsid w:val="0011597A"/>
    <w:rsid w:val="001163CE"/>
    <w:rsid w:val="00116984"/>
    <w:rsid w:val="001175D3"/>
    <w:rsid w:val="0012118E"/>
    <w:rsid w:val="001227AE"/>
    <w:rsid w:val="001234AF"/>
    <w:rsid w:val="001242A7"/>
    <w:rsid w:val="00124AD6"/>
    <w:rsid w:val="00124EFA"/>
    <w:rsid w:val="001252E3"/>
    <w:rsid w:val="001258C6"/>
    <w:rsid w:val="001260AD"/>
    <w:rsid w:val="001260CA"/>
    <w:rsid w:val="00130413"/>
    <w:rsid w:val="0013194E"/>
    <w:rsid w:val="001322DD"/>
    <w:rsid w:val="001337B1"/>
    <w:rsid w:val="00134220"/>
    <w:rsid w:val="001343F2"/>
    <w:rsid w:val="001354AA"/>
    <w:rsid w:val="00135FE6"/>
    <w:rsid w:val="0013600B"/>
    <w:rsid w:val="001367CB"/>
    <w:rsid w:val="00136ABB"/>
    <w:rsid w:val="00136D8B"/>
    <w:rsid w:val="00140D11"/>
    <w:rsid w:val="00141671"/>
    <w:rsid w:val="00142C7A"/>
    <w:rsid w:val="0014343E"/>
    <w:rsid w:val="00143BA7"/>
    <w:rsid w:val="00143C8A"/>
    <w:rsid w:val="00145F66"/>
    <w:rsid w:val="0014669C"/>
    <w:rsid w:val="00146B0B"/>
    <w:rsid w:val="00146EAF"/>
    <w:rsid w:val="00147290"/>
    <w:rsid w:val="0014732F"/>
    <w:rsid w:val="001473E4"/>
    <w:rsid w:val="00150BB0"/>
    <w:rsid w:val="00150F90"/>
    <w:rsid w:val="00151D92"/>
    <w:rsid w:val="00151ECB"/>
    <w:rsid w:val="001527BD"/>
    <w:rsid w:val="00152A79"/>
    <w:rsid w:val="00152EA1"/>
    <w:rsid w:val="0015483B"/>
    <w:rsid w:val="0015552E"/>
    <w:rsid w:val="001558DD"/>
    <w:rsid w:val="00155FE9"/>
    <w:rsid w:val="001560B5"/>
    <w:rsid w:val="00156391"/>
    <w:rsid w:val="0015751A"/>
    <w:rsid w:val="00157A3E"/>
    <w:rsid w:val="00157CFC"/>
    <w:rsid w:val="00160F6E"/>
    <w:rsid w:val="00160FB8"/>
    <w:rsid w:val="0016298E"/>
    <w:rsid w:val="00163023"/>
    <w:rsid w:val="00163F73"/>
    <w:rsid w:val="0016481F"/>
    <w:rsid w:val="001650CA"/>
    <w:rsid w:val="00172D9E"/>
    <w:rsid w:val="00172F74"/>
    <w:rsid w:val="001730B2"/>
    <w:rsid w:val="00173CCF"/>
    <w:rsid w:val="00174316"/>
    <w:rsid w:val="00176B34"/>
    <w:rsid w:val="00176DDC"/>
    <w:rsid w:val="00180527"/>
    <w:rsid w:val="00180872"/>
    <w:rsid w:val="001808C5"/>
    <w:rsid w:val="00180C86"/>
    <w:rsid w:val="00181675"/>
    <w:rsid w:val="00181F7D"/>
    <w:rsid w:val="001829F1"/>
    <w:rsid w:val="00183A45"/>
    <w:rsid w:val="00193B3D"/>
    <w:rsid w:val="00197AC5"/>
    <w:rsid w:val="001A064A"/>
    <w:rsid w:val="001A0DC3"/>
    <w:rsid w:val="001A17C6"/>
    <w:rsid w:val="001A3141"/>
    <w:rsid w:val="001A325F"/>
    <w:rsid w:val="001A376E"/>
    <w:rsid w:val="001A4F82"/>
    <w:rsid w:val="001A50A6"/>
    <w:rsid w:val="001A52C4"/>
    <w:rsid w:val="001A693F"/>
    <w:rsid w:val="001A747C"/>
    <w:rsid w:val="001B1382"/>
    <w:rsid w:val="001B1CC3"/>
    <w:rsid w:val="001B3E7F"/>
    <w:rsid w:val="001B494C"/>
    <w:rsid w:val="001B4CEF"/>
    <w:rsid w:val="001B57B6"/>
    <w:rsid w:val="001B5902"/>
    <w:rsid w:val="001B6408"/>
    <w:rsid w:val="001B725B"/>
    <w:rsid w:val="001C0893"/>
    <w:rsid w:val="001C1720"/>
    <w:rsid w:val="001C2C97"/>
    <w:rsid w:val="001C3069"/>
    <w:rsid w:val="001C3835"/>
    <w:rsid w:val="001C3F53"/>
    <w:rsid w:val="001C4501"/>
    <w:rsid w:val="001C49FF"/>
    <w:rsid w:val="001C6272"/>
    <w:rsid w:val="001D13B4"/>
    <w:rsid w:val="001D17E9"/>
    <w:rsid w:val="001D1B93"/>
    <w:rsid w:val="001D2905"/>
    <w:rsid w:val="001D334D"/>
    <w:rsid w:val="001D4858"/>
    <w:rsid w:val="001D4D5F"/>
    <w:rsid w:val="001D5583"/>
    <w:rsid w:val="001D55E5"/>
    <w:rsid w:val="001D662F"/>
    <w:rsid w:val="001D7235"/>
    <w:rsid w:val="001D745B"/>
    <w:rsid w:val="001D7A2A"/>
    <w:rsid w:val="001E44D5"/>
    <w:rsid w:val="001E53C2"/>
    <w:rsid w:val="001E573A"/>
    <w:rsid w:val="001E65FB"/>
    <w:rsid w:val="001E772C"/>
    <w:rsid w:val="001F02FB"/>
    <w:rsid w:val="001F0ECE"/>
    <w:rsid w:val="001F120D"/>
    <w:rsid w:val="001F172D"/>
    <w:rsid w:val="001F20EF"/>
    <w:rsid w:val="001F2134"/>
    <w:rsid w:val="001F38D7"/>
    <w:rsid w:val="001F44BE"/>
    <w:rsid w:val="001F4BA3"/>
    <w:rsid w:val="001F4CF0"/>
    <w:rsid w:val="001F510D"/>
    <w:rsid w:val="001F522F"/>
    <w:rsid w:val="001F5349"/>
    <w:rsid w:val="001F5B4F"/>
    <w:rsid w:val="001F6B40"/>
    <w:rsid w:val="001F6BFA"/>
    <w:rsid w:val="001F7926"/>
    <w:rsid w:val="002003EA"/>
    <w:rsid w:val="00201060"/>
    <w:rsid w:val="00202640"/>
    <w:rsid w:val="00202A78"/>
    <w:rsid w:val="00204347"/>
    <w:rsid w:val="0020453A"/>
    <w:rsid w:val="002049AE"/>
    <w:rsid w:val="00206AB8"/>
    <w:rsid w:val="002072AB"/>
    <w:rsid w:val="00207DFF"/>
    <w:rsid w:val="00210081"/>
    <w:rsid w:val="0021176A"/>
    <w:rsid w:val="002146D6"/>
    <w:rsid w:val="00215467"/>
    <w:rsid w:val="00215675"/>
    <w:rsid w:val="0021763B"/>
    <w:rsid w:val="002206F1"/>
    <w:rsid w:val="00220DF4"/>
    <w:rsid w:val="0022159C"/>
    <w:rsid w:val="002230CB"/>
    <w:rsid w:val="00223F79"/>
    <w:rsid w:val="002247D6"/>
    <w:rsid w:val="0022598C"/>
    <w:rsid w:val="00225ABD"/>
    <w:rsid w:val="002269B5"/>
    <w:rsid w:val="00227F3F"/>
    <w:rsid w:val="00230F11"/>
    <w:rsid w:val="00231286"/>
    <w:rsid w:val="00231293"/>
    <w:rsid w:val="0023384A"/>
    <w:rsid w:val="0023420E"/>
    <w:rsid w:val="00234A35"/>
    <w:rsid w:val="00234B89"/>
    <w:rsid w:val="0023519C"/>
    <w:rsid w:val="00235B96"/>
    <w:rsid w:val="00235D40"/>
    <w:rsid w:val="002366C0"/>
    <w:rsid w:val="00236E0C"/>
    <w:rsid w:val="002412F9"/>
    <w:rsid w:val="00241607"/>
    <w:rsid w:val="00241CCD"/>
    <w:rsid w:val="00241CFE"/>
    <w:rsid w:val="002437B5"/>
    <w:rsid w:val="0024504F"/>
    <w:rsid w:val="00245E3E"/>
    <w:rsid w:val="00245E50"/>
    <w:rsid w:val="002466FA"/>
    <w:rsid w:val="00247549"/>
    <w:rsid w:val="0025045D"/>
    <w:rsid w:val="00250CD3"/>
    <w:rsid w:val="00252B5B"/>
    <w:rsid w:val="00252B65"/>
    <w:rsid w:val="00253380"/>
    <w:rsid w:val="00253CEE"/>
    <w:rsid w:val="00255F7A"/>
    <w:rsid w:val="00256197"/>
    <w:rsid w:val="00256350"/>
    <w:rsid w:val="002567B5"/>
    <w:rsid w:val="00260E15"/>
    <w:rsid w:val="002610CC"/>
    <w:rsid w:val="00261A99"/>
    <w:rsid w:val="002622BC"/>
    <w:rsid w:val="0026247D"/>
    <w:rsid w:val="00262943"/>
    <w:rsid w:val="0026333F"/>
    <w:rsid w:val="002636FD"/>
    <w:rsid w:val="002641C9"/>
    <w:rsid w:val="00265459"/>
    <w:rsid w:val="00265D6A"/>
    <w:rsid w:val="0026631E"/>
    <w:rsid w:val="00267036"/>
    <w:rsid w:val="00267291"/>
    <w:rsid w:val="00267D2A"/>
    <w:rsid w:val="00267F25"/>
    <w:rsid w:val="0027082E"/>
    <w:rsid w:val="00271C0B"/>
    <w:rsid w:val="00271D03"/>
    <w:rsid w:val="00272B85"/>
    <w:rsid w:val="0027312A"/>
    <w:rsid w:val="00273E54"/>
    <w:rsid w:val="002744F3"/>
    <w:rsid w:val="002745E3"/>
    <w:rsid w:val="0027525B"/>
    <w:rsid w:val="002762AE"/>
    <w:rsid w:val="00276AFF"/>
    <w:rsid w:val="00276DE6"/>
    <w:rsid w:val="0028199B"/>
    <w:rsid w:val="00281BF0"/>
    <w:rsid w:val="00282535"/>
    <w:rsid w:val="00285EAD"/>
    <w:rsid w:val="00294133"/>
    <w:rsid w:val="00294D66"/>
    <w:rsid w:val="002967CD"/>
    <w:rsid w:val="002967F1"/>
    <w:rsid w:val="00296ECC"/>
    <w:rsid w:val="0029798C"/>
    <w:rsid w:val="002A0718"/>
    <w:rsid w:val="002A15DC"/>
    <w:rsid w:val="002A16E4"/>
    <w:rsid w:val="002A3AC4"/>
    <w:rsid w:val="002A4C9F"/>
    <w:rsid w:val="002A5335"/>
    <w:rsid w:val="002A5909"/>
    <w:rsid w:val="002A7387"/>
    <w:rsid w:val="002A7EE3"/>
    <w:rsid w:val="002B01B7"/>
    <w:rsid w:val="002B2004"/>
    <w:rsid w:val="002B24CB"/>
    <w:rsid w:val="002B3133"/>
    <w:rsid w:val="002B3348"/>
    <w:rsid w:val="002B49B4"/>
    <w:rsid w:val="002B49C7"/>
    <w:rsid w:val="002B6AF1"/>
    <w:rsid w:val="002C1629"/>
    <w:rsid w:val="002C1F1C"/>
    <w:rsid w:val="002C35CD"/>
    <w:rsid w:val="002C4007"/>
    <w:rsid w:val="002C4117"/>
    <w:rsid w:val="002C49B7"/>
    <w:rsid w:val="002C59C5"/>
    <w:rsid w:val="002C64CA"/>
    <w:rsid w:val="002C70D1"/>
    <w:rsid w:val="002D002A"/>
    <w:rsid w:val="002D06FE"/>
    <w:rsid w:val="002D0A45"/>
    <w:rsid w:val="002D1095"/>
    <w:rsid w:val="002D2075"/>
    <w:rsid w:val="002D33B5"/>
    <w:rsid w:val="002D3690"/>
    <w:rsid w:val="002D38A2"/>
    <w:rsid w:val="002D3D1D"/>
    <w:rsid w:val="002D4D07"/>
    <w:rsid w:val="002D57E2"/>
    <w:rsid w:val="002E20A2"/>
    <w:rsid w:val="002E2C33"/>
    <w:rsid w:val="002E38E8"/>
    <w:rsid w:val="002E39C5"/>
    <w:rsid w:val="002E446E"/>
    <w:rsid w:val="002E6069"/>
    <w:rsid w:val="002E6922"/>
    <w:rsid w:val="002E7BFC"/>
    <w:rsid w:val="002F0735"/>
    <w:rsid w:val="002F089E"/>
    <w:rsid w:val="002F114A"/>
    <w:rsid w:val="002F1D34"/>
    <w:rsid w:val="002F3571"/>
    <w:rsid w:val="002F3DEE"/>
    <w:rsid w:val="002F435C"/>
    <w:rsid w:val="002F53E9"/>
    <w:rsid w:val="002F5498"/>
    <w:rsid w:val="002F6F19"/>
    <w:rsid w:val="00301EF9"/>
    <w:rsid w:val="003023B0"/>
    <w:rsid w:val="0030259B"/>
    <w:rsid w:val="00303BC1"/>
    <w:rsid w:val="003072A0"/>
    <w:rsid w:val="00310DB8"/>
    <w:rsid w:val="00311D5A"/>
    <w:rsid w:val="00313008"/>
    <w:rsid w:val="00313377"/>
    <w:rsid w:val="00315B3E"/>
    <w:rsid w:val="00315EC3"/>
    <w:rsid w:val="003167F5"/>
    <w:rsid w:val="003175DB"/>
    <w:rsid w:val="003205D2"/>
    <w:rsid w:val="003209E6"/>
    <w:rsid w:val="00321236"/>
    <w:rsid w:val="0032330E"/>
    <w:rsid w:val="0032368A"/>
    <w:rsid w:val="003238C4"/>
    <w:rsid w:val="00323B36"/>
    <w:rsid w:val="00324039"/>
    <w:rsid w:val="00324182"/>
    <w:rsid w:val="00325720"/>
    <w:rsid w:val="00327819"/>
    <w:rsid w:val="00330D21"/>
    <w:rsid w:val="00333490"/>
    <w:rsid w:val="00333AF3"/>
    <w:rsid w:val="003344F4"/>
    <w:rsid w:val="003352A0"/>
    <w:rsid w:val="003356AF"/>
    <w:rsid w:val="00335EB9"/>
    <w:rsid w:val="00337CFE"/>
    <w:rsid w:val="0034039C"/>
    <w:rsid w:val="003444E9"/>
    <w:rsid w:val="00344C51"/>
    <w:rsid w:val="003450E1"/>
    <w:rsid w:val="00346165"/>
    <w:rsid w:val="003464D2"/>
    <w:rsid w:val="003512A8"/>
    <w:rsid w:val="00352654"/>
    <w:rsid w:val="00354701"/>
    <w:rsid w:val="00354B0A"/>
    <w:rsid w:val="00355311"/>
    <w:rsid w:val="0035588F"/>
    <w:rsid w:val="00356634"/>
    <w:rsid w:val="00360BBD"/>
    <w:rsid w:val="00362DDF"/>
    <w:rsid w:val="003632CE"/>
    <w:rsid w:val="00363A45"/>
    <w:rsid w:val="003651B4"/>
    <w:rsid w:val="003651EC"/>
    <w:rsid w:val="00365C0D"/>
    <w:rsid w:val="00366194"/>
    <w:rsid w:val="00366D11"/>
    <w:rsid w:val="003674F7"/>
    <w:rsid w:val="00367AE5"/>
    <w:rsid w:val="00370379"/>
    <w:rsid w:val="00370CC4"/>
    <w:rsid w:val="00370DF3"/>
    <w:rsid w:val="00371E86"/>
    <w:rsid w:val="00374818"/>
    <w:rsid w:val="00374E0B"/>
    <w:rsid w:val="00375E3E"/>
    <w:rsid w:val="00376135"/>
    <w:rsid w:val="0037614F"/>
    <w:rsid w:val="00376DAF"/>
    <w:rsid w:val="003772B7"/>
    <w:rsid w:val="00380463"/>
    <w:rsid w:val="00380C5B"/>
    <w:rsid w:val="0038134E"/>
    <w:rsid w:val="00382952"/>
    <w:rsid w:val="003847E5"/>
    <w:rsid w:val="00384B74"/>
    <w:rsid w:val="0038595B"/>
    <w:rsid w:val="00386272"/>
    <w:rsid w:val="003862DF"/>
    <w:rsid w:val="00387C1E"/>
    <w:rsid w:val="00391A9A"/>
    <w:rsid w:val="00392097"/>
    <w:rsid w:val="00392558"/>
    <w:rsid w:val="003936A0"/>
    <w:rsid w:val="0039475F"/>
    <w:rsid w:val="00394A31"/>
    <w:rsid w:val="00394D0E"/>
    <w:rsid w:val="0039522F"/>
    <w:rsid w:val="00395A22"/>
    <w:rsid w:val="00397966"/>
    <w:rsid w:val="003A1773"/>
    <w:rsid w:val="003A389A"/>
    <w:rsid w:val="003A405D"/>
    <w:rsid w:val="003A4115"/>
    <w:rsid w:val="003A489D"/>
    <w:rsid w:val="003A4CE3"/>
    <w:rsid w:val="003A6A0E"/>
    <w:rsid w:val="003A6BB0"/>
    <w:rsid w:val="003B19B3"/>
    <w:rsid w:val="003B32C8"/>
    <w:rsid w:val="003B3354"/>
    <w:rsid w:val="003B40EE"/>
    <w:rsid w:val="003B41FA"/>
    <w:rsid w:val="003B4BE0"/>
    <w:rsid w:val="003B56F9"/>
    <w:rsid w:val="003B5EBE"/>
    <w:rsid w:val="003B641E"/>
    <w:rsid w:val="003B67E7"/>
    <w:rsid w:val="003B6AF8"/>
    <w:rsid w:val="003B7453"/>
    <w:rsid w:val="003B74AA"/>
    <w:rsid w:val="003B7656"/>
    <w:rsid w:val="003B79D9"/>
    <w:rsid w:val="003C012F"/>
    <w:rsid w:val="003C075C"/>
    <w:rsid w:val="003C0D33"/>
    <w:rsid w:val="003C1401"/>
    <w:rsid w:val="003C1403"/>
    <w:rsid w:val="003C1881"/>
    <w:rsid w:val="003C1F1E"/>
    <w:rsid w:val="003C235E"/>
    <w:rsid w:val="003C2A0E"/>
    <w:rsid w:val="003C5227"/>
    <w:rsid w:val="003C6FC1"/>
    <w:rsid w:val="003D0DD6"/>
    <w:rsid w:val="003D13CF"/>
    <w:rsid w:val="003D2447"/>
    <w:rsid w:val="003D244C"/>
    <w:rsid w:val="003D33ED"/>
    <w:rsid w:val="003D427D"/>
    <w:rsid w:val="003D46AA"/>
    <w:rsid w:val="003D46C2"/>
    <w:rsid w:val="003D4D69"/>
    <w:rsid w:val="003D4F94"/>
    <w:rsid w:val="003D52D2"/>
    <w:rsid w:val="003D63C5"/>
    <w:rsid w:val="003D7B3A"/>
    <w:rsid w:val="003E06E3"/>
    <w:rsid w:val="003E0F80"/>
    <w:rsid w:val="003E14F5"/>
    <w:rsid w:val="003E1638"/>
    <w:rsid w:val="003E1D5B"/>
    <w:rsid w:val="003E1DAC"/>
    <w:rsid w:val="003E26A2"/>
    <w:rsid w:val="003E343D"/>
    <w:rsid w:val="003E3C73"/>
    <w:rsid w:val="003E3E02"/>
    <w:rsid w:val="003E4805"/>
    <w:rsid w:val="003E496F"/>
    <w:rsid w:val="003E4F1F"/>
    <w:rsid w:val="003E549C"/>
    <w:rsid w:val="003E7E0C"/>
    <w:rsid w:val="003F0D48"/>
    <w:rsid w:val="003F2836"/>
    <w:rsid w:val="003F3EA5"/>
    <w:rsid w:val="003F4B30"/>
    <w:rsid w:val="003F4DF3"/>
    <w:rsid w:val="003F504F"/>
    <w:rsid w:val="003F5AD0"/>
    <w:rsid w:val="003F631B"/>
    <w:rsid w:val="003F7619"/>
    <w:rsid w:val="0040016E"/>
    <w:rsid w:val="00401A12"/>
    <w:rsid w:val="00401C79"/>
    <w:rsid w:val="004033D7"/>
    <w:rsid w:val="00404E6E"/>
    <w:rsid w:val="004053CD"/>
    <w:rsid w:val="00405ADB"/>
    <w:rsid w:val="00406207"/>
    <w:rsid w:val="004064CB"/>
    <w:rsid w:val="00407AF0"/>
    <w:rsid w:val="00411BF8"/>
    <w:rsid w:val="00413B34"/>
    <w:rsid w:val="00414F63"/>
    <w:rsid w:val="00415250"/>
    <w:rsid w:val="00416329"/>
    <w:rsid w:val="0042079B"/>
    <w:rsid w:val="00421090"/>
    <w:rsid w:val="00421799"/>
    <w:rsid w:val="00424CC7"/>
    <w:rsid w:val="00427EBA"/>
    <w:rsid w:val="00431411"/>
    <w:rsid w:val="00432F21"/>
    <w:rsid w:val="004332A0"/>
    <w:rsid w:val="00433824"/>
    <w:rsid w:val="004338F1"/>
    <w:rsid w:val="00434026"/>
    <w:rsid w:val="004351F5"/>
    <w:rsid w:val="004352F8"/>
    <w:rsid w:val="00435FC4"/>
    <w:rsid w:val="0043630C"/>
    <w:rsid w:val="0043642A"/>
    <w:rsid w:val="00437FF4"/>
    <w:rsid w:val="0044036D"/>
    <w:rsid w:val="00440DC4"/>
    <w:rsid w:val="00444054"/>
    <w:rsid w:val="00444328"/>
    <w:rsid w:val="00444F15"/>
    <w:rsid w:val="004464A3"/>
    <w:rsid w:val="0044744B"/>
    <w:rsid w:val="00447BB9"/>
    <w:rsid w:val="00450AE3"/>
    <w:rsid w:val="00450DE6"/>
    <w:rsid w:val="00452400"/>
    <w:rsid w:val="00452A56"/>
    <w:rsid w:val="00452C20"/>
    <w:rsid w:val="0045422D"/>
    <w:rsid w:val="00455B52"/>
    <w:rsid w:val="00455DB6"/>
    <w:rsid w:val="004566BD"/>
    <w:rsid w:val="004573D5"/>
    <w:rsid w:val="00460C2C"/>
    <w:rsid w:val="00460EC7"/>
    <w:rsid w:val="00461A6C"/>
    <w:rsid w:val="00461B1B"/>
    <w:rsid w:val="0046265F"/>
    <w:rsid w:val="004627B8"/>
    <w:rsid w:val="00462AC2"/>
    <w:rsid w:val="00463BF5"/>
    <w:rsid w:val="0046792B"/>
    <w:rsid w:val="004708AA"/>
    <w:rsid w:val="00471281"/>
    <w:rsid w:val="00472C49"/>
    <w:rsid w:val="00473F20"/>
    <w:rsid w:val="00474C35"/>
    <w:rsid w:val="00474E35"/>
    <w:rsid w:val="004756AB"/>
    <w:rsid w:val="00476D5D"/>
    <w:rsid w:val="00476F27"/>
    <w:rsid w:val="0047780D"/>
    <w:rsid w:val="004817B2"/>
    <w:rsid w:val="004817BB"/>
    <w:rsid w:val="004830BF"/>
    <w:rsid w:val="004834D3"/>
    <w:rsid w:val="0048468D"/>
    <w:rsid w:val="00484A23"/>
    <w:rsid w:val="00484A6A"/>
    <w:rsid w:val="00484A80"/>
    <w:rsid w:val="00484CA9"/>
    <w:rsid w:val="00486723"/>
    <w:rsid w:val="00486CEC"/>
    <w:rsid w:val="00487FED"/>
    <w:rsid w:val="004904C1"/>
    <w:rsid w:val="0049050C"/>
    <w:rsid w:val="00490F78"/>
    <w:rsid w:val="004913D8"/>
    <w:rsid w:val="004932E5"/>
    <w:rsid w:val="00493B1A"/>
    <w:rsid w:val="00493DA1"/>
    <w:rsid w:val="004945DC"/>
    <w:rsid w:val="0049676B"/>
    <w:rsid w:val="00496932"/>
    <w:rsid w:val="00496F8F"/>
    <w:rsid w:val="00497CE6"/>
    <w:rsid w:val="00497EC1"/>
    <w:rsid w:val="004A0164"/>
    <w:rsid w:val="004A089E"/>
    <w:rsid w:val="004A09E6"/>
    <w:rsid w:val="004A1ACE"/>
    <w:rsid w:val="004A211C"/>
    <w:rsid w:val="004A2AE6"/>
    <w:rsid w:val="004A2CC8"/>
    <w:rsid w:val="004A4F1A"/>
    <w:rsid w:val="004A5789"/>
    <w:rsid w:val="004B0B1A"/>
    <w:rsid w:val="004B1483"/>
    <w:rsid w:val="004B1E10"/>
    <w:rsid w:val="004B2026"/>
    <w:rsid w:val="004B3238"/>
    <w:rsid w:val="004B5FE8"/>
    <w:rsid w:val="004B6564"/>
    <w:rsid w:val="004B71F0"/>
    <w:rsid w:val="004B72D9"/>
    <w:rsid w:val="004C0633"/>
    <w:rsid w:val="004C105B"/>
    <w:rsid w:val="004C1D59"/>
    <w:rsid w:val="004C20F2"/>
    <w:rsid w:val="004C215F"/>
    <w:rsid w:val="004C33B5"/>
    <w:rsid w:val="004C35CE"/>
    <w:rsid w:val="004C3777"/>
    <w:rsid w:val="004C3F78"/>
    <w:rsid w:val="004C6423"/>
    <w:rsid w:val="004C7606"/>
    <w:rsid w:val="004C7672"/>
    <w:rsid w:val="004D0835"/>
    <w:rsid w:val="004D15EA"/>
    <w:rsid w:val="004D2BBA"/>
    <w:rsid w:val="004D3532"/>
    <w:rsid w:val="004D72DA"/>
    <w:rsid w:val="004D7766"/>
    <w:rsid w:val="004D7A43"/>
    <w:rsid w:val="004E08C2"/>
    <w:rsid w:val="004E1F87"/>
    <w:rsid w:val="004E2471"/>
    <w:rsid w:val="004E260F"/>
    <w:rsid w:val="004E3188"/>
    <w:rsid w:val="004E3479"/>
    <w:rsid w:val="004E3D42"/>
    <w:rsid w:val="004E4AB4"/>
    <w:rsid w:val="004E688C"/>
    <w:rsid w:val="004E721E"/>
    <w:rsid w:val="004F0AA6"/>
    <w:rsid w:val="004F0F0C"/>
    <w:rsid w:val="004F239C"/>
    <w:rsid w:val="004F272B"/>
    <w:rsid w:val="004F2F4A"/>
    <w:rsid w:val="004F39B9"/>
    <w:rsid w:val="004F3AEC"/>
    <w:rsid w:val="004F4E64"/>
    <w:rsid w:val="004F53D2"/>
    <w:rsid w:val="004F645C"/>
    <w:rsid w:val="004F73D1"/>
    <w:rsid w:val="00500FBF"/>
    <w:rsid w:val="00501171"/>
    <w:rsid w:val="0050187B"/>
    <w:rsid w:val="00501EC9"/>
    <w:rsid w:val="00502BDC"/>
    <w:rsid w:val="00502D7B"/>
    <w:rsid w:val="00502E2B"/>
    <w:rsid w:val="00504857"/>
    <w:rsid w:val="00506CAB"/>
    <w:rsid w:val="00511AD8"/>
    <w:rsid w:val="00511F8D"/>
    <w:rsid w:val="00512121"/>
    <w:rsid w:val="00513DF5"/>
    <w:rsid w:val="00515408"/>
    <w:rsid w:val="00516ED5"/>
    <w:rsid w:val="0051716C"/>
    <w:rsid w:val="00520214"/>
    <w:rsid w:val="005211F5"/>
    <w:rsid w:val="005235A1"/>
    <w:rsid w:val="00524722"/>
    <w:rsid w:val="0052492D"/>
    <w:rsid w:val="005253AA"/>
    <w:rsid w:val="00526131"/>
    <w:rsid w:val="00526B04"/>
    <w:rsid w:val="00527A8A"/>
    <w:rsid w:val="005301FF"/>
    <w:rsid w:val="005325FF"/>
    <w:rsid w:val="00532900"/>
    <w:rsid w:val="00532A9F"/>
    <w:rsid w:val="00533086"/>
    <w:rsid w:val="005340D2"/>
    <w:rsid w:val="00534AC4"/>
    <w:rsid w:val="00536D13"/>
    <w:rsid w:val="005374AA"/>
    <w:rsid w:val="005401DD"/>
    <w:rsid w:val="0054197E"/>
    <w:rsid w:val="00542E40"/>
    <w:rsid w:val="005458F6"/>
    <w:rsid w:val="005463B7"/>
    <w:rsid w:val="0054647D"/>
    <w:rsid w:val="005505AE"/>
    <w:rsid w:val="00551329"/>
    <w:rsid w:val="005520D4"/>
    <w:rsid w:val="005601BA"/>
    <w:rsid w:val="005609BD"/>
    <w:rsid w:val="00561827"/>
    <w:rsid w:val="0056264A"/>
    <w:rsid w:val="00562C1B"/>
    <w:rsid w:val="00570132"/>
    <w:rsid w:val="00570607"/>
    <w:rsid w:val="00570CEA"/>
    <w:rsid w:val="00571450"/>
    <w:rsid w:val="0057269A"/>
    <w:rsid w:val="00572BE3"/>
    <w:rsid w:val="005739B6"/>
    <w:rsid w:val="00574EC6"/>
    <w:rsid w:val="005752B7"/>
    <w:rsid w:val="00575A71"/>
    <w:rsid w:val="00575CFA"/>
    <w:rsid w:val="00581B08"/>
    <w:rsid w:val="00582DB2"/>
    <w:rsid w:val="00583B0C"/>
    <w:rsid w:val="00584FB1"/>
    <w:rsid w:val="00585ECC"/>
    <w:rsid w:val="005869AC"/>
    <w:rsid w:val="00587B0D"/>
    <w:rsid w:val="00587BAE"/>
    <w:rsid w:val="0059095D"/>
    <w:rsid w:val="005909BC"/>
    <w:rsid w:val="00590D31"/>
    <w:rsid w:val="005925E8"/>
    <w:rsid w:val="0059361A"/>
    <w:rsid w:val="005946E7"/>
    <w:rsid w:val="0059567F"/>
    <w:rsid w:val="00595AF9"/>
    <w:rsid w:val="00595F2B"/>
    <w:rsid w:val="0059619F"/>
    <w:rsid w:val="005969AF"/>
    <w:rsid w:val="00597732"/>
    <w:rsid w:val="005A0709"/>
    <w:rsid w:val="005A11B7"/>
    <w:rsid w:val="005A3F16"/>
    <w:rsid w:val="005A53B9"/>
    <w:rsid w:val="005A5783"/>
    <w:rsid w:val="005A5AE2"/>
    <w:rsid w:val="005A5C8C"/>
    <w:rsid w:val="005A65C9"/>
    <w:rsid w:val="005A732D"/>
    <w:rsid w:val="005A7CFF"/>
    <w:rsid w:val="005B06B4"/>
    <w:rsid w:val="005B20AE"/>
    <w:rsid w:val="005B2794"/>
    <w:rsid w:val="005B28BD"/>
    <w:rsid w:val="005B44DB"/>
    <w:rsid w:val="005B5679"/>
    <w:rsid w:val="005B741B"/>
    <w:rsid w:val="005C05B9"/>
    <w:rsid w:val="005C0E7A"/>
    <w:rsid w:val="005C10DE"/>
    <w:rsid w:val="005C1B97"/>
    <w:rsid w:val="005C1D87"/>
    <w:rsid w:val="005C1E2A"/>
    <w:rsid w:val="005C3066"/>
    <w:rsid w:val="005C35C9"/>
    <w:rsid w:val="005C4B23"/>
    <w:rsid w:val="005C5147"/>
    <w:rsid w:val="005C5C33"/>
    <w:rsid w:val="005C62E9"/>
    <w:rsid w:val="005C68FA"/>
    <w:rsid w:val="005C7FC5"/>
    <w:rsid w:val="005D1B79"/>
    <w:rsid w:val="005D1CC3"/>
    <w:rsid w:val="005D54C5"/>
    <w:rsid w:val="005D5EC4"/>
    <w:rsid w:val="005D6A12"/>
    <w:rsid w:val="005D7208"/>
    <w:rsid w:val="005D780C"/>
    <w:rsid w:val="005E0210"/>
    <w:rsid w:val="005E11F8"/>
    <w:rsid w:val="005E34FA"/>
    <w:rsid w:val="005E36CA"/>
    <w:rsid w:val="005E4958"/>
    <w:rsid w:val="005E4EEA"/>
    <w:rsid w:val="005E51F9"/>
    <w:rsid w:val="005E54BC"/>
    <w:rsid w:val="005E57FF"/>
    <w:rsid w:val="005E60B5"/>
    <w:rsid w:val="005E67C0"/>
    <w:rsid w:val="005E6E05"/>
    <w:rsid w:val="005F4D11"/>
    <w:rsid w:val="005F560B"/>
    <w:rsid w:val="005F6E57"/>
    <w:rsid w:val="00601718"/>
    <w:rsid w:val="00601F79"/>
    <w:rsid w:val="0060299B"/>
    <w:rsid w:val="00602D5B"/>
    <w:rsid w:val="00603486"/>
    <w:rsid w:val="00603E4F"/>
    <w:rsid w:val="00603EBE"/>
    <w:rsid w:val="006053EE"/>
    <w:rsid w:val="00606835"/>
    <w:rsid w:val="00606CA0"/>
    <w:rsid w:val="006073FC"/>
    <w:rsid w:val="00607B0B"/>
    <w:rsid w:val="00607FAC"/>
    <w:rsid w:val="00607FC1"/>
    <w:rsid w:val="006101A3"/>
    <w:rsid w:val="00610F3F"/>
    <w:rsid w:val="006118B1"/>
    <w:rsid w:val="00611C08"/>
    <w:rsid w:val="006132E3"/>
    <w:rsid w:val="0061450A"/>
    <w:rsid w:val="00614C42"/>
    <w:rsid w:val="00616146"/>
    <w:rsid w:val="00616601"/>
    <w:rsid w:val="006171F4"/>
    <w:rsid w:val="00617516"/>
    <w:rsid w:val="00617CE0"/>
    <w:rsid w:val="00620890"/>
    <w:rsid w:val="00620D30"/>
    <w:rsid w:val="00620FDF"/>
    <w:rsid w:val="00622E62"/>
    <w:rsid w:val="00624537"/>
    <w:rsid w:val="00625E8B"/>
    <w:rsid w:val="006267DC"/>
    <w:rsid w:val="00626A08"/>
    <w:rsid w:val="00626CFB"/>
    <w:rsid w:val="00627CC5"/>
    <w:rsid w:val="00627E9B"/>
    <w:rsid w:val="006301BA"/>
    <w:rsid w:val="00631760"/>
    <w:rsid w:val="00632ADF"/>
    <w:rsid w:val="006336DC"/>
    <w:rsid w:val="00633B5E"/>
    <w:rsid w:val="00633DD8"/>
    <w:rsid w:val="00634433"/>
    <w:rsid w:val="00635024"/>
    <w:rsid w:val="00635100"/>
    <w:rsid w:val="00635437"/>
    <w:rsid w:val="006366C3"/>
    <w:rsid w:val="0063682E"/>
    <w:rsid w:val="006406E6"/>
    <w:rsid w:val="00641547"/>
    <w:rsid w:val="00642FF2"/>
    <w:rsid w:val="00643198"/>
    <w:rsid w:val="00643681"/>
    <w:rsid w:val="006441FF"/>
    <w:rsid w:val="006453FA"/>
    <w:rsid w:val="006465AD"/>
    <w:rsid w:val="006514BD"/>
    <w:rsid w:val="006520ED"/>
    <w:rsid w:val="00652B8C"/>
    <w:rsid w:val="006536CB"/>
    <w:rsid w:val="006545D6"/>
    <w:rsid w:val="006546DC"/>
    <w:rsid w:val="00655AD4"/>
    <w:rsid w:val="006614B8"/>
    <w:rsid w:val="00661EF0"/>
    <w:rsid w:val="00662C11"/>
    <w:rsid w:val="0066324B"/>
    <w:rsid w:val="00664280"/>
    <w:rsid w:val="00664740"/>
    <w:rsid w:val="00664758"/>
    <w:rsid w:val="00664B18"/>
    <w:rsid w:val="006655B8"/>
    <w:rsid w:val="006655CB"/>
    <w:rsid w:val="0066581E"/>
    <w:rsid w:val="00665D2A"/>
    <w:rsid w:val="006662A9"/>
    <w:rsid w:val="00667984"/>
    <w:rsid w:val="00671BCB"/>
    <w:rsid w:val="00673ADE"/>
    <w:rsid w:val="00675FF6"/>
    <w:rsid w:val="006766F2"/>
    <w:rsid w:val="00677AD3"/>
    <w:rsid w:val="0068087F"/>
    <w:rsid w:val="00681821"/>
    <w:rsid w:val="006819B5"/>
    <w:rsid w:val="0068280E"/>
    <w:rsid w:val="00683380"/>
    <w:rsid w:val="006833E1"/>
    <w:rsid w:val="006845D9"/>
    <w:rsid w:val="00685418"/>
    <w:rsid w:val="00685808"/>
    <w:rsid w:val="00685AE9"/>
    <w:rsid w:val="006865C0"/>
    <w:rsid w:val="0068689C"/>
    <w:rsid w:val="0068716E"/>
    <w:rsid w:val="0068739A"/>
    <w:rsid w:val="00690FBB"/>
    <w:rsid w:val="00694136"/>
    <w:rsid w:val="006943A2"/>
    <w:rsid w:val="00694491"/>
    <w:rsid w:val="006954AF"/>
    <w:rsid w:val="00696301"/>
    <w:rsid w:val="006A135B"/>
    <w:rsid w:val="006A1F84"/>
    <w:rsid w:val="006A2813"/>
    <w:rsid w:val="006A472F"/>
    <w:rsid w:val="006A6002"/>
    <w:rsid w:val="006A65A4"/>
    <w:rsid w:val="006A7CF5"/>
    <w:rsid w:val="006A7E64"/>
    <w:rsid w:val="006B0FD9"/>
    <w:rsid w:val="006B19E5"/>
    <w:rsid w:val="006B38A0"/>
    <w:rsid w:val="006B3F88"/>
    <w:rsid w:val="006B40CD"/>
    <w:rsid w:val="006B4F49"/>
    <w:rsid w:val="006B619E"/>
    <w:rsid w:val="006B62E4"/>
    <w:rsid w:val="006B68D2"/>
    <w:rsid w:val="006B6AE7"/>
    <w:rsid w:val="006B72F1"/>
    <w:rsid w:val="006B76B9"/>
    <w:rsid w:val="006B78EC"/>
    <w:rsid w:val="006C1383"/>
    <w:rsid w:val="006C1571"/>
    <w:rsid w:val="006C4F5C"/>
    <w:rsid w:val="006C5476"/>
    <w:rsid w:val="006C5DF6"/>
    <w:rsid w:val="006D1E2A"/>
    <w:rsid w:val="006D2814"/>
    <w:rsid w:val="006D2A65"/>
    <w:rsid w:val="006D41E9"/>
    <w:rsid w:val="006D4397"/>
    <w:rsid w:val="006D4918"/>
    <w:rsid w:val="006D4E2C"/>
    <w:rsid w:val="006D5326"/>
    <w:rsid w:val="006D56AF"/>
    <w:rsid w:val="006D6696"/>
    <w:rsid w:val="006D6D78"/>
    <w:rsid w:val="006D6DDC"/>
    <w:rsid w:val="006D7765"/>
    <w:rsid w:val="006E0465"/>
    <w:rsid w:val="006E096F"/>
    <w:rsid w:val="006E0C98"/>
    <w:rsid w:val="006E1785"/>
    <w:rsid w:val="006E1823"/>
    <w:rsid w:val="006E220D"/>
    <w:rsid w:val="006E2582"/>
    <w:rsid w:val="006E4F58"/>
    <w:rsid w:val="006E5EE9"/>
    <w:rsid w:val="006E5F74"/>
    <w:rsid w:val="006E6D4A"/>
    <w:rsid w:val="006E78E2"/>
    <w:rsid w:val="006F2B82"/>
    <w:rsid w:val="006F3920"/>
    <w:rsid w:val="006F50D7"/>
    <w:rsid w:val="006F6ED5"/>
    <w:rsid w:val="00700A65"/>
    <w:rsid w:val="00702DCE"/>
    <w:rsid w:val="00702EA5"/>
    <w:rsid w:val="007030CE"/>
    <w:rsid w:val="00703805"/>
    <w:rsid w:val="00703E4E"/>
    <w:rsid w:val="00703F21"/>
    <w:rsid w:val="00704DB1"/>
    <w:rsid w:val="007051AE"/>
    <w:rsid w:val="0070591F"/>
    <w:rsid w:val="007059DB"/>
    <w:rsid w:val="00705F96"/>
    <w:rsid w:val="00706A56"/>
    <w:rsid w:val="00707DE2"/>
    <w:rsid w:val="00710591"/>
    <w:rsid w:val="007129C0"/>
    <w:rsid w:val="0071363E"/>
    <w:rsid w:val="00713E79"/>
    <w:rsid w:val="007150DB"/>
    <w:rsid w:val="0071631D"/>
    <w:rsid w:val="00716AB1"/>
    <w:rsid w:val="00716E23"/>
    <w:rsid w:val="00717E28"/>
    <w:rsid w:val="00720566"/>
    <w:rsid w:val="00721AEF"/>
    <w:rsid w:val="007228FF"/>
    <w:rsid w:val="00723FD7"/>
    <w:rsid w:val="0072408D"/>
    <w:rsid w:val="00725119"/>
    <w:rsid w:val="00726093"/>
    <w:rsid w:val="007279FC"/>
    <w:rsid w:val="007310C8"/>
    <w:rsid w:val="007329A6"/>
    <w:rsid w:val="0073303E"/>
    <w:rsid w:val="00733CDD"/>
    <w:rsid w:val="00735252"/>
    <w:rsid w:val="00736AFD"/>
    <w:rsid w:val="00736DC0"/>
    <w:rsid w:val="00736FF6"/>
    <w:rsid w:val="00737151"/>
    <w:rsid w:val="007379B9"/>
    <w:rsid w:val="00744B8D"/>
    <w:rsid w:val="00745614"/>
    <w:rsid w:val="00745A83"/>
    <w:rsid w:val="007465B6"/>
    <w:rsid w:val="0075035E"/>
    <w:rsid w:val="00750B8C"/>
    <w:rsid w:val="007545C6"/>
    <w:rsid w:val="00755D99"/>
    <w:rsid w:val="007564C2"/>
    <w:rsid w:val="0075797F"/>
    <w:rsid w:val="0076146C"/>
    <w:rsid w:val="00762754"/>
    <w:rsid w:val="00762811"/>
    <w:rsid w:val="00762899"/>
    <w:rsid w:val="007631E5"/>
    <w:rsid w:val="00764374"/>
    <w:rsid w:val="007656F3"/>
    <w:rsid w:val="00770889"/>
    <w:rsid w:val="00770EC5"/>
    <w:rsid w:val="007749E5"/>
    <w:rsid w:val="00775233"/>
    <w:rsid w:val="00776912"/>
    <w:rsid w:val="00777BEC"/>
    <w:rsid w:val="00780AE6"/>
    <w:rsid w:val="00782589"/>
    <w:rsid w:val="00782750"/>
    <w:rsid w:val="00782DC7"/>
    <w:rsid w:val="007840C0"/>
    <w:rsid w:val="00787536"/>
    <w:rsid w:val="00790243"/>
    <w:rsid w:val="007906C4"/>
    <w:rsid w:val="00790A7F"/>
    <w:rsid w:val="00790C0C"/>
    <w:rsid w:val="007913BD"/>
    <w:rsid w:val="007916AD"/>
    <w:rsid w:val="007924D1"/>
    <w:rsid w:val="00792CC8"/>
    <w:rsid w:val="007930E6"/>
    <w:rsid w:val="0079314C"/>
    <w:rsid w:val="0079395F"/>
    <w:rsid w:val="007943B8"/>
    <w:rsid w:val="007944FB"/>
    <w:rsid w:val="00794551"/>
    <w:rsid w:val="00796659"/>
    <w:rsid w:val="00796BB4"/>
    <w:rsid w:val="00796BC6"/>
    <w:rsid w:val="007A07BB"/>
    <w:rsid w:val="007A15CD"/>
    <w:rsid w:val="007A18C7"/>
    <w:rsid w:val="007A1BF2"/>
    <w:rsid w:val="007A27BC"/>
    <w:rsid w:val="007A2AA0"/>
    <w:rsid w:val="007A58B5"/>
    <w:rsid w:val="007B057B"/>
    <w:rsid w:val="007B07B5"/>
    <w:rsid w:val="007B206B"/>
    <w:rsid w:val="007B20F1"/>
    <w:rsid w:val="007B299F"/>
    <w:rsid w:val="007B2E96"/>
    <w:rsid w:val="007B3480"/>
    <w:rsid w:val="007B3A4C"/>
    <w:rsid w:val="007B46DF"/>
    <w:rsid w:val="007B4803"/>
    <w:rsid w:val="007B4CB1"/>
    <w:rsid w:val="007B501F"/>
    <w:rsid w:val="007B59FC"/>
    <w:rsid w:val="007B5DA4"/>
    <w:rsid w:val="007B5F28"/>
    <w:rsid w:val="007B6BCF"/>
    <w:rsid w:val="007B6EEF"/>
    <w:rsid w:val="007C0B83"/>
    <w:rsid w:val="007C1C55"/>
    <w:rsid w:val="007C22D2"/>
    <w:rsid w:val="007C4710"/>
    <w:rsid w:val="007C6D3C"/>
    <w:rsid w:val="007C6FAD"/>
    <w:rsid w:val="007C70E2"/>
    <w:rsid w:val="007C792B"/>
    <w:rsid w:val="007C7BD4"/>
    <w:rsid w:val="007C7CD6"/>
    <w:rsid w:val="007D02C1"/>
    <w:rsid w:val="007D08D8"/>
    <w:rsid w:val="007D09D1"/>
    <w:rsid w:val="007D0E59"/>
    <w:rsid w:val="007D0F7C"/>
    <w:rsid w:val="007D18B7"/>
    <w:rsid w:val="007D3C4C"/>
    <w:rsid w:val="007D45E5"/>
    <w:rsid w:val="007D7045"/>
    <w:rsid w:val="007E021A"/>
    <w:rsid w:val="007E045F"/>
    <w:rsid w:val="007E05A5"/>
    <w:rsid w:val="007E323B"/>
    <w:rsid w:val="007E3770"/>
    <w:rsid w:val="007E5C9A"/>
    <w:rsid w:val="007E60FE"/>
    <w:rsid w:val="007E65D7"/>
    <w:rsid w:val="007E757F"/>
    <w:rsid w:val="007F0DB7"/>
    <w:rsid w:val="007F0EA7"/>
    <w:rsid w:val="007F1D11"/>
    <w:rsid w:val="007F2086"/>
    <w:rsid w:val="007F29A6"/>
    <w:rsid w:val="007F2F5F"/>
    <w:rsid w:val="007F316F"/>
    <w:rsid w:val="007F4D02"/>
    <w:rsid w:val="007F4FBB"/>
    <w:rsid w:val="007F5887"/>
    <w:rsid w:val="007F594C"/>
    <w:rsid w:val="007F5CAB"/>
    <w:rsid w:val="007F6E79"/>
    <w:rsid w:val="007F70EE"/>
    <w:rsid w:val="007F7823"/>
    <w:rsid w:val="007F7AD7"/>
    <w:rsid w:val="008001BF"/>
    <w:rsid w:val="008013C2"/>
    <w:rsid w:val="008016FA"/>
    <w:rsid w:val="0080256C"/>
    <w:rsid w:val="00802B6F"/>
    <w:rsid w:val="00805036"/>
    <w:rsid w:val="00805E45"/>
    <w:rsid w:val="00806173"/>
    <w:rsid w:val="00806267"/>
    <w:rsid w:val="00807C5D"/>
    <w:rsid w:val="00807EFC"/>
    <w:rsid w:val="00810C82"/>
    <w:rsid w:val="00811AB3"/>
    <w:rsid w:val="00812553"/>
    <w:rsid w:val="00812D08"/>
    <w:rsid w:val="00813CEE"/>
    <w:rsid w:val="008146CE"/>
    <w:rsid w:val="00814851"/>
    <w:rsid w:val="008148B1"/>
    <w:rsid w:val="00815018"/>
    <w:rsid w:val="008173EF"/>
    <w:rsid w:val="00817650"/>
    <w:rsid w:val="008179BE"/>
    <w:rsid w:val="00817EC0"/>
    <w:rsid w:val="00820573"/>
    <w:rsid w:val="00820A5B"/>
    <w:rsid w:val="00821E39"/>
    <w:rsid w:val="0082217C"/>
    <w:rsid w:val="00822413"/>
    <w:rsid w:val="008233FB"/>
    <w:rsid w:val="0082459E"/>
    <w:rsid w:val="00824C6E"/>
    <w:rsid w:val="008256BF"/>
    <w:rsid w:val="00825BEA"/>
    <w:rsid w:val="00826BAE"/>
    <w:rsid w:val="008278B3"/>
    <w:rsid w:val="00827E43"/>
    <w:rsid w:val="00827F9A"/>
    <w:rsid w:val="00830856"/>
    <w:rsid w:val="00830F50"/>
    <w:rsid w:val="008315A6"/>
    <w:rsid w:val="00831EC1"/>
    <w:rsid w:val="0083571B"/>
    <w:rsid w:val="00836C7B"/>
    <w:rsid w:val="00840AB6"/>
    <w:rsid w:val="00840BE7"/>
    <w:rsid w:val="0084179C"/>
    <w:rsid w:val="008424B9"/>
    <w:rsid w:val="008427BF"/>
    <w:rsid w:val="00844295"/>
    <w:rsid w:val="008456E4"/>
    <w:rsid w:val="00845E76"/>
    <w:rsid w:val="00845FCF"/>
    <w:rsid w:val="008477A2"/>
    <w:rsid w:val="00847B4D"/>
    <w:rsid w:val="008525C0"/>
    <w:rsid w:val="00852A81"/>
    <w:rsid w:val="00853828"/>
    <w:rsid w:val="0085386D"/>
    <w:rsid w:val="008555EF"/>
    <w:rsid w:val="00856C19"/>
    <w:rsid w:val="00856CB7"/>
    <w:rsid w:val="00856E66"/>
    <w:rsid w:val="00857805"/>
    <w:rsid w:val="00860678"/>
    <w:rsid w:val="00860A2A"/>
    <w:rsid w:val="00861C6D"/>
    <w:rsid w:val="00862FFD"/>
    <w:rsid w:val="008645D4"/>
    <w:rsid w:val="0086474A"/>
    <w:rsid w:val="00864B7D"/>
    <w:rsid w:val="00865384"/>
    <w:rsid w:val="00865AE8"/>
    <w:rsid w:val="008660CF"/>
    <w:rsid w:val="00866178"/>
    <w:rsid w:val="00866BB5"/>
    <w:rsid w:val="00870279"/>
    <w:rsid w:val="008712A6"/>
    <w:rsid w:val="0087157E"/>
    <w:rsid w:val="008721B5"/>
    <w:rsid w:val="00872FC1"/>
    <w:rsid w:val="00873675"/>
    <w:rsid w:val="008752D8"/>
    <w:rsid w:val="008758E8"/>
    <w:rsid w:val="00877D1C"/>
    <w:rsid w:val="008814E3"/>
    <w:rsid w:val="008815B4"/>
    <w:rsid w:val="00882A72"/>
    <w:rsid w:val="0088308C"/>
    <w:rsid w:val="0088351E"/>
    <w:rsid w:val="00884F18"/>
    <w:rsid w:val="0088532E"/>
    <w:rsid w:val="00886061"/>
    <w:rsid w:val="00891B06"/>
    <w:rsid w:val="00891C88"/>
    <w:rsid w:val="0089279A"/>
    <w:rsid w:val="00892A67"/>
    <w:rsid w:val="008950FE"/>
    <w:rsid w:val="008A0474"/>
    <w:rsid w:val="008A1F4E"/>
    <w:rsid w:val="008A2147"/>
    <w:rsid w:val="008A4968"/>
    <w:rsid w:val="008A4B26"/>
    <w:rsid w:val="008A6CA4"/>
    <w:rsid w:val="008B0240"/>
    <w:rsid w:val="008B04F4"/>
    <w:rsid w:val="008B1316"/>
    <w:rsid w:val="008B18A7"/>
    <w:rsid w:val="008B282D"/>
    <w:rsid w:val="008B2993"/>
    <w:rsid w:val="008B4E25"/>
    <w:rsid w:val="008B54F9"/>
    <w:rsid w:val="008B764C"/>
    <w:rsid w:val="008B787D"/>
    <w:rsid w:val="008C0546"/>
    <w:rsid w:val="008C0C32"/>
    <w:rsid w:val="008C1743"/>
    <w:rsid w:val="008C204C"/>
    <w:rsid w:val="008C265B"/>
    <w:rsid w:val="008C3554"/>
    <w:rsid w:val="008C463C"/>
    <w:rsid w:val="008C5F5D"/>
    <w:rsid w:val="008C73C7"/>
    <w:rsid w:val="008C75BE"/>
    <w:rsid w:val="008D03B2"/>
    <w:rsid w:val="008D15C6"/>
    <w:rsid w:val="008D2D33"/>
    <w:rsid w:val="008D334A"/>
    <w:rsid w:val="008D5E3A"/>
    <w:rsid w:val="008D5F8B"/>
    <w:rsid w:val="008D74EF"/>
    <w:rsid w:val="008D7F3F"/>
    <w:rsid w:val="008E138A"/>
    <w:rsid w:val="008E147E"/>
    <w:rsid w:val="008E1893"/>
    <w:rsid w:val="008E1E41"/>
    <w:rsid w:val="008E4900"/>
    <w:rsid w:val="008E4D2B"/>
    <w:rsid w:val="008E5F01"/>
    <w:rsid w:val="008F02F8"/>
    <w:rsid w:val="008F23EE"/>
    <w:rsid w:val="008F2998"/>
    <w:rsid w:val="008F2BD9"/>
    <w:rsid w:val="008F3090"/>
    <w:rsid w:val="008F3219"/>
    <w:rsid w:val="008F3570"/>
    <w:rsid w:val="008F38EA"/>
    <w:rsid w:val="008F397A"/>
    <w:rsid w:val="008F3CD0"/>
    <w:rsid w:val="008F460E"/>
    <w:rsid w:val="008F479F"/>
    <w:rsid w:val="008F4857"/>
    <w:rsid w:val="008F49C5"/>
    <w:rsid w:val="008F5934"/>
    <w:rsid w:val="008F5CCC"/>
    <w:rsid w:val="008F5F23"/>
    <w:rsid w:val="008F63F5"/>
    <w:rsid w:val="008F6403"/>
    <w:rsid w:val="008F667E"/>
    <w:rsid w:val="008F7441"/>
    <w:rsid w:val="008F7E53"/>
    <w:rsid w:val="00900340"/>
    <w:rsid w:val="00901E2F"/>
    <w:rsid w:val="00901EAC"/>
    <w:rsid w:val="009025A4"/>
    <w:rsid w:val="00902AE7"/>
    <w:rsid w:val="00903250"/>
    <w:rsid w:val="00903674"/>
    <w:rsid w:val="00903E7D"/>
    <w:rsid w:val="0090497C"/>
    <w:rsid w:val="00904FEA"/>
    <w:rsid w:val="009055C8"/>
    <w:rsid w:val="009060A0"/>
    <w:rsid w:val="00907BBB"/>
    <w:rsid w:val="00907DA3"/>
    <w:rsid w:val="00912912"/>
    <w:rsid w:val="00912B73"/>
    <w:rsid w:val="009130FE"/>
    <w:rsid w:val="00913BD5"/>
    <w:rsid w:val="009156F9"/>
    <w:rsid w:val="00915B58"/>
    <w:rsid w:val="009163B3"/>
    <w:rsid w:val="00917708"/>
    <w:rsid w:val="00917A4C"/>
    <w:rsid w:val="0092037E"/>
    <w:rsid w:val="009205ED"/>
    <w:rsid w:val="009214DB"/>
    <w:rsid w:val="00921BEA"/>
    <w:rsid w:val="00921D67"/>
    <w:rsid w:val="00921F7A"/>
    <w:rsid w:val="0092270F"/>
    <w:rsid w:val="0092390C"/>
    <w:rsid w:val="009246DC"/>
    <w:rsid w:val="00925445"/>
    <w:rsid w:val="00926776"/>
    <w:rsid w:val="00927769"/>
    <w:rsid w:val="0093080B"/>
    <w:rsid w:val="00930D14"/>
    <w:rsid w:val="00931BC5"/>
    <w:rsid w:val="009331ED"/>
    <w:rsid w:val="009337A9"/>
    <w:rsid w:val="009338B9"/>
    <w:rsid w:val="00934076"/>
    <w:rsid w:val="00934881"/>
    <w:rsid w:val="009356B1"/>
    <w:rsid w:val="009369BC"/>
    <w:rsid w:val="00937954"/>
    <w:rsid w:val="00940377"/>
    <w:rsid w:val="00941CB3"/>
    <w:rsid w:val="009434E0"/>
    <w:rsid w:val="0094480B"/>
    <w:rsid w:val="00944EB7"/>
    <w:rsid w:val="00946D0D"/>
    <w:rsid w:val="0094770A"/>
    <w:rsid w:val="00947A21"/>
    <w:rsid w:val="00947C64"/>
    <w:rsid w:val="00947E9F"/>
    <w:rsid w:val="00950DDC"/>
    <w:rsid w:val="00951043"/>
    <w:rsid w:val="009525E1"/>
    <w:rsid w:val="00952A3B"/>
    <w:rsid w:val="00952F7E"/>
    <w:rsid w:val="00954A50"/>
    <w:rsid w:val="0095584F"/>
    <w:rsid w:val="00956900"/>
    <w:rsid w:val="0095743D"/>
    <w:rsid w:val="00957FA7"/>
    <w:rsid w:val="009609CF"/>
    <w:rsid w:val="00961345"/>
    <w:rsid w:val="0096160B"/>
    <w:rsid w:val="00962A30"/>
    <w:rsid w:val="00963239"/>
    <w:rsid w:val="00963B4F"/>
    <w:rsid w:val="0096476B"/>
    <w:rsid w:val="0096539D"/>
    <w:rsid w:val="0096595E"/>
    <w:rsid w:val="0097115A"/>
    <w:rsid w:val="009731EC"/>
    <w:rsid w:val="00974478"/>
    <w:rsid w:val="009770CD"/>
    <w:rsid w:val="00980424"/>
    <w:rsid w:val="00981BDD"/>
    <w:rsid w:val="0098300D"/>
    <w:rsid w:val="009837EC"/>
    <w:rsid w:val="00984143"/>
    <w:rsid w:val="00985889"/>
    <w:rsid w:val="00986CA1"/>
    <w:rsid w:val="00986F93"/>
    <w:rsid w:val="00987046"/>
    <w:rsid w:val="00987332"/>
    <w:rsid w:val="0099058A"/>
    <w:rsid w:val="00993124"/>
    <w:rsid w:val="0099403C"/>
    <w:rsid w:val="009970AC"/>
    <w:rsid w:val="009A0097"/>
    <w:rsid w:val="009A0A2F"/>
    <w:rsid w:val="009A1368"/>
    <w:rsid w:val="009A15AE"/>
    <w:rsid w:val="009A3094"/>
    <w:rsid w:val="009A4328"/>
    <w:rsid w:val="009A5723"/>
    <w:rsid w:val="009A7224"/>
    <w:rsid w:val="009A76A2"/>
    <w:rsid w:val="009B0054"/>
    <w:rsid w:val="009B00BC"/>
    <w:rsid w:val="009B0347"/>
    <w:rsid w:val="009B05ED"/>
    <w:rsid w:val="009B256B"/>
    <w:rsid w:val="009B2612"/>
    <w:rsid w:val="009B2BE4"/>
    <w:rsid w:val="009B338E"/>
    <w:rsid w:val="009B3966"/>
    <w:rsid w:val="009B5322"/>
    <w:rsid w:val="009B5346"/>
    <w:rsid w:val="009B6478"/>
    <w:rsid w:val="009C07C5"/>
    <w:rsid w:val="009C0A68"/>
    <w:rsid w:val="009C1407"/>
    <w:rsid w:val="009C16FA"/>
    <w:rsid w:val="009C379E"/>
    <w:rsid w:val="009C401C"/>
    <w:rsid w:val="009C464B"/>
    <w:rsid w:val="009C4B2C"/>
    <w:rsid w:val="009C5FA7"/>
    <w:rsid w:val="009C77A8"/>
    <w:rsid w:val="009C7B8B"/>
    <w:rsid w:val="009C7F84"/>
    <w:rsid w:val="009D01F8"/>
    <w:rsid w:val="009D0450"/>
    <w:rsid w:val="009D13D6"/>
    <w:rsid w:val="009D158B"/>
    <w:rsid w:val="009D1AEC"/>
    <w:rsid w:val="009D2407"/>
    <w:rsid w:val="009D2CFD"/>
    <w:rsid w:val="009D2DE2"/>
    <w:rsid w:val="009D373D"/>
    <w:rsid w:val="009D4F6F"/>
    <w:rsid w:val="009D5130"/>
    <w:rsid w:val="009D6020"/>
    <w:rsid w:val="009D63C4"/>
    <w:rsid w:val="009D6836"/>
    <w:rsid w:val="009D6A5E"/>
    <w:rsid w:val="009D70B1"/>
    <w:rsid w:val="009D779D"/>
    <w:rsid w:val="009E009E"/>
    <w:rsid w:val="009E1A22"/>
    <w:rsid w:val="009E1CA5"/>
    <w:rsid w:val="009E31D2"/>
    <w:rsid w:val="009E4254"/>
    <w:rsid w:val="009F329E"/>
    <w:rsid w:val="009F3C9D"/>
    <w:rsid w:val="009F4423"/>
    <w:rsid w:val="009F450E"/>
    <w:rsid w:val="009F4EE6"/>
    <w:rsid w:val="009F68A4"/>
    <w:rsid w:val="00A01070"/>
    <w:rsid w:val="00A056A4"/>
    <w:rsid w:val="00A06ED6"/>
    <w:rsid w:val="00A077A9"/>
    <w:rsid w:val="00A07D21"/>
    <w:rsid w:val="00A07FAC"/>
    <w:rsid w:val="00A10406"/>
    <w:rsid w:val="00A12752"/>
    <w:rsid w:val="00A13953"/>
    <w:rsid w:val="00A14582"/>
    <w:rsid w:val="00A15359"/>
    <w:rsid w:val="00A15ACC"/>
    <w:rsid w:val="00A15AD5"/>
    <w:rsid w:val="00A17AAE"/>
    <w:rsid w:val="00A21BF0"/>
    <w:rsid w:val="00A21CDC"/>
    <w:rsid w:val="00A22A4E"/>
    <w:rsid w:val="00A256EA"/>
    <w:rsid w:val="00A260B1"/>
    <w:rsid w:val="00A273F3"/>
    <w:rsid w:val="00A27DD8"/>
    <w:rsid w:val="00A27F70"/>
    <w:rsid w:val="00A3069B"/>
    <w:rsid w:val="00A33DB6"/>
    <w:rsid w:val="00A3453B"/>
    <w:rsid w:val="00A35EC5"/>
    <w:rsid w:val="00A36438"/>
    <w:rsid w:val="00A37C39"/>
    <w:rsid w:val="00A37F13"/>
    <w:rsid w:val="00A403D7"/>
    <w:rsid w:val="00A40F7F"/>
    <w:rsid w:val="00A41D25"/>
    <w:rsid w:val="00A42CBA"/>
    <w:rsid w:val="00A45C6C"/>
    <w:rsid w:val="00A45D17"/>
    <w:rsid w:val="00A46FD2"/>
    <w:rsid w:val="00A472D1"/>
    <w:rsid w:val="00A5316F"/>
    <w:rsid w:val="00A54363"/>
    <w:rsid w:val="00A54615"/>
    <w:rsid w:val="00A55928"/>
    <w:rsid w:val="00A57AFB"/>
    <w:rsid w:val="00A60681"/>
    <w:rsid w:val="00A6077B"/>
    <w:rsid w:val="00A60783"/>
    <w:rsid w:val="00A62633"/>
    <w:rsid w:val="00A62B16"/>
    <w:rsid w:val="00A65911"/>
    <w:rsid w:val="00A67E95"/>
    <w:rsid w:val="00A732F2"/>
    <w:rsid w:val="00A73368"/>
    <w:rsid w:val="00A73502"/>
    <w:rsid w:val="00A7382B"/>
    <w:rsid w:val="00A73B19"/>
    <w:rsid w:val="00A73DAB"/>
    <w:rsid w:val="00A75273"/>
    <w:rsid w:val="00A76D17"/>
    <w:rsid w:val="00A77BEB"/>
    <w:rsid w:val="00A80E85"/>
    <w:rsid w:val="00A81B16"/>
    <w:rsid w:val="00A82BC2"/>
    <w:rsid w:val="00A83017"/>
    <w:rsid w:val="00A84D17"/>
    <w:rsid w:val="00A84F3F"/>
    <w:rsid w:val="00A8541F"/>
    <w:rsid w:val="00A8735A"/>
    <w:rsid w:val="00A876ED"/>
    <w:rsid w:val="00A87FF0"/>
    <w:rsid w:val="00A902EA"/>
    <w:rsid w:val="00A918D1"/>
    <w:rsid w:val="00A9359B"/>
    <w:rsid w:val="00A93679"/>
    <w:rsid w:val="00A936B2"/>
    <w:rsid w:val="00A93792"/>
    <w:rsid w:val="00A93AC0"/>
    <w:rsid w:val="00A959E0"/>
    <w:rsid w:val="00A96BCB"/>
    <w:rsid w:val="00A97C91"/>
    <w:rsid w:val="00AA373E"/>
    <w:rsid w:val="00AA3DA4"/>
    <w:rsid w:val="00AA5176"/>
    <w:rsid w:val="00AA5FF8"/>
    <w:rsid w:val="00AA6B61"/>
    <w:rsid w:val="00AA78D8"/>
    <w:rsid w:val="00AB0162"/>
    <w:rsid w:val="00AB02B3"/>
    <w:rsid w:val="00AB0364"/>
    <w:rsid w:val="00AB1644"/>
    <w:rsid w:val="00AB17F1"/>
    <w:rsid w:val="00AB1A7C"/>
    <w:rsid w:val="00AB3C4D"/>
    <w:rsid w:val="00AB51EA"/>
    <w:rsid w:val="00AB59E0"/>
    <w:rsid w:val="00AB5B02"/>
    <w:rsid w:val="00AB5DAB"/>
    <w:rsid w:val="00AB64F0"/>
    <w:rsid w:val="00AB6B9E"/>
    <w:rsid w:val="00AC0ABC"/>
    <w:rsid w:val="00AC1308"/>
    <w:rsid w:val="00AC1E8D"/>
    <w:rsid w:val="00AC22A7"/>
    <w:rsid w:val="00AC2AF8"/>
    <w:rsid w:val="00AC4350"/>
    <w:rsid w:val="00AC4B9C"/>
    <w:rsid w:val="00AC5E9A"/>
    <w:rsid w:val="00AC749B"/>
    <w:rsid w:val="00AD01AC"/>
    <w:rsid w:val="00AD0333"/>
    <w:rsid w:val="00AD1CDF"/>
    <w:rsid w:val="00AD31BF"/>
    <w:rsid w:val="00AD4692"/>
    <w:rsid w:val="00AD6BFA"/>
    <w:rsid w:val="00AD7ACB"/>
    <w:rsid w:val="00AD7C4C"/>
    <w:rsid w:val="00AD7F49"/>
    <w:rsid w:val="00AE0457"/>
    <w:rsid w:val="00AE1487"/>
    <w:rsid w:val="00AE258F"/>
    <w:rsid w:val="00AE3736"/>
    <w:rsid w:val="00AE3C14"/>
    <w:rsid w:val="00AE68D4"/>
    <w:rsid w:val="00AE7568"/>
    <w:rsid w:val="00AF06F6"/>
    <w:rsid w:val="00AF0E28"/>
    <w:rsid w:val="00AF0F92"/>
    <w:rsid w:val="00AF2EDD"/>
    <w:rsid w:val="00AF379A"/>
    <w:rsid w:val="00AF37F0"/>
    <w:rsid w:val="00AF4081"/>
    <w:rsid w:val="00AF48DE"/>
    <w:rsid w:val="00AF5071"/>
    <w:rsid w:val="00AF50A7"/>
    <w:rsid w:val="00AF512F"/>
    <w:rsid w:val="00AF609B"/>
    <w:rsid w:val="00AF61A7"/>
    <w:rsid w:val="00AF7128"/>
    <w:rsid w:val="00AF7808"/>
    <w:rsid w:val="00B006B3"/>
    <w:rsid w:val="00B02DD2"/>
    <w:rsid w:val="00B0400F"/>
    <w:rsid w:val="00B0501E"/>
    <w:rsid w:val="00B054F6"/>
    <w:rsid w:val="00B055E4"/>
    <w:rsid w:val="00B05ABD"/>
    <w:rsid w:val="00B05C8F"/>
    <w:rsid w:val="00B05CA5"/>
    <w:rsid w:val="00B06A6E"/>
    <w:rsid w:val="00B06D81"/>
    <w:rsid w:val="00B1292B"/>
    <w:rsid w:val="00B12AA9"/>
    <w:rsid w:val="00B12B25"/>
    <w:rsid w:val="00B132C0"/>
    <w:rsid w:val="00B13418"/>
    <w:rsid w:val="00B140CD"/>
    <w:rsid w:val="00B146C8"/>
    <w:rsid w:val="00B15597"/>
    <w:rsid w:val="00B1692D"/>
    <w:rsid w:val="00B16959"/>
    <w:rsid w:val="00B16B74"/>
    <w:rsid w:val="00B21020"/>
    <w:rsid w:val="00B23CB9"/>
    <w:rsid w:val="00B25CB4"/>
    <w:rsid w:val="00B2624D"/>
    <w:rsid w:val="00B269D8"/>
    <w:rsid w:val="00B2749E"/>
    <w:rsid w:val="00B327FB"/>
    <w:rsid w:val="00B33BFB"/>
    <w:rsid w:val="00B363FE"/>
    <w:rsid w:val="00B3745B"/>
    <w:rsid w:val="00B37BA3"/>
    <w:rsid w:val="00B40031"/>
    <w:rsid w:val="00B405A5"/>
    <w:rsid w:val="00B40902"/>
    <w:rsid w:val="00B411A7"/>
    <w:rsid w:val="00B43598"/>
    <w:rsid w:val="00B43932"/>
    <w:rsid w:val="00B43F16"/>
    <w:rsid w:val="00B44090"/>
    <w:rsid w:val="00B463DC"/>
    <w:rsid w:val="00B464AC"/>
    <w:rsid w:val="00B46932"/>
    <w:rsid w:val="00B477E2"/>
    <w:rsid w:val="00B47913"/>
    <w:rsid w:val="00B50BA1"/>
    <w:rsid w:val="00B51061"/>
    <w:rsid w:val="00B519E9"/>
    <w:rsid w:val="00B5385F"/>
    <w:rsid w:val="00B565EE"/>
    <w:rsid w:val="00B60411"/>
    <w:rsid w:val="00B60C45"/>
    <w:rsid w:val="00B60EFF"/>
    <w:rsid w:val="00B635D4"/>
    <w:rsid w:val="00B64C1D"/>
    <w:rsid w:val="00B6505E"/>
    <w:rsid w:val="00B66E8D"/>
    <w:rsid w:val="00B67313"/>
    <w:rsid w:val="00B70B1C"/>
    <w:rsid w:val="00B70E71"/>
    <w:rsid w:val="00B7115C"/>
    <w:rsid w:val="00B71895"/>
    <w:rsid w:val="00B71B82"/>
    <w:rsid w:val="00B71C16"/>
    <w:rsid w:val="00B73AB3"/>
    <w:rsid w:val="00B74AA6"/>
    <w:rsid w:val="00B7545E"/>
    <w:rsid w:val="00B75B28"/>
    <w:rsid w:val="00B804BC"/>
    <w:rsid w:val="00B80EFB"/>
    <w:rsid w:val="00B83C93"/>
    <w:rsid w:val="00B847F9"/>
    <w:rsid w:val="00B849B2"/>
    <w:rsid w:val="00B8738E"/>
    <w:rsid w:val="00B9049E"/>
    <w:rsid w:val="00B91796"/>
    <w:rsid w:val="00B92140"/>
    <w:rsid w:val="00B9302C"/>
    <w:rsid w:val="00B931F3"/>
    <w:rsid w:val="00B9335A"/>
    <w:rsid w:val="00B93EF2"/>
    <w:rsid w:val="00B94C48"/>
    <w:rsid w:val="00B9613C"/>
    <w:rsid w:val="00BA041B"/>
    <w:rsid w:val="00BA4D0E"/>
    <w:rsid w:val="00BA589A"/>
    <w:rsid w:val="00BA58D9"/>
    <w:rsid w:val="00BA7A9B"/>
    <w:rsid w:val="00BB0751"/>
    <w:rsid w:val="00BB09A0"/>
    <w:rsid w:val="00BB0E93"/>
    <w:rsid w:val="00BB2DD2"/>
    <w:rsid w:val="00BB3C4B"/>
    <w:rsid w:val="00BB44F5"/>
    <w:rsid w:val="00BB6FD3"/>
    <w:rsid w:val="00BB7327"/>
    <w:rsid w:val="00BB7387"/>
    <w:rsid w:val="00BB7592"/>
    <w:rsid w:val="00BB785A"/>
    <w:rsid w:val="00BB7903"/>
    <w:rsid w:val="00BC1216"/>
    <w:rsid w:val="00BC1885"/>
    <w:rsid w:val="00BC1EE4"/>
    <w:rsid w:val="00BC3114"/>
    <w:rsid w:val="00BC3404"/>
    <w:rsid w:val="00BC3998"/>
    <w:rsid w:val="00BC39C1"/>
    <w:rsid w:val="00BC3C58"/>
    <w:rsid w:val="00BC3CE2"/>
    <w:rsid w:val="00BC44A5"/>
    <w:rsid w:val="00BC4747"/>
    <w:rsid w:val="00BC4CE1"/>
    <w:rsid w:val="00BC4D69"/>
    <w:rsid w:val="00BC57D3"/>
    <w:rsid w:val="00BD1C49"/>
    <w:rsid w:val="00BD2E01"/>
    <w:rsid w:val="00BD4944"/>
    <w:rsid w:val="00BD587C"/>
    <w:rsid w:val="00BE0475"/>
    <w:rsid w:val="00BE06B6"/>
    <w:rsid w:val="00BE0716"/>
    <w:rsid w:val="00BE11E3"/>
    <w:rsid w:val="00BE1380"/>
    <w:rsid w:val="00BE1970"/>
    <w:rsid w:val="00BE1A89"/>
    <w:rsid w:val="00BE1F0E"/>
    <w:rsid w:val="00BE3EB8"/>
    <w:rsid w:val="00BE4B29"/>
    <w:rsid w:val="00BE4F55"/>
    <w:rsid w:val="00BE550F"/>
    <w:rsid w:val="00BE64AD"/>
    <w:rsid w:val="00BE7F46"/>
    <w:rsid w:val="00BF003B"/>
    <w:rsid w:val="00BF06EA"/>
    <w:rsid w:val="00BF0FE5"/>
    <w:rsid w:val="00BF3265"/>
    <w:rsid w:val="00BF37B4"/>
    <w:rsid w:val="00BF38E0"/>
    <w:rsid w:val="00BF40DE"/>
    <w:rsid w:val="00BF5B12"/>
    <w:rsid w:val="00BF6F1B"/>
    <w:rsid w:val="00BF6F4A"/>
    <w:rsid w:val="00BF7896"/>
    <w:rsid w:val="00C014B2"/>
    <w:rsid w:val="00C02354"/>
    <w:rsid w:val="00C029B9"/>
    <w:rsid w:val="00C03484"/>
    <w:rsid w:val="00C03D17"/>
    <w:rsid w:val="00C04C9A"/>
    <w:rsid w:val="00C05601"/>
    <w:rsid w:val="00C06B7C"/>
    <w:rsid w:val="00C075BF"/>
    <w:rsid w:val="00C07706"/>
    <w:rsid w:val="00C07E18"/>
    <w:rsid w:val="00C108BE"/>
    <w:rsid w:val="00C10D97"/>
    <w:rsid w:val="00C10DDB"/>
    <w:rsid w:val="00C11420"/>
    <w:rsid w:val="00C11BD5"/>
    <w:rsid w:val="00C14279"/>
    <w:rsid w:val="00C15D71"/>
    <w:rsid w:val="00C160FB"/>
    <w:rsid w:val="00C165F3"/>
    <w:rsid w:val="00C168FC"/>
    <w:rsid w:val="00C17327"/>
    <w:rsid w:val="00C17D11"/>
    <w:rsid w:val="00C217D5"/>
    <w:rsid w:val="00C220F9"/>
    <w:rsid w:val="00C240E4"/>
    <w:rsid w:val="00C24533"/>
    <w:rsid w:val="00C24932"/>
    <w:rsid w:val="00C252B6"/>
    <w:rsid w:val="00C26DF0"/>
    <w:rsid w:val="00C2702D"/>
    <w:rsid w:val="00C30066"/>
    <w:rsid w:val="00C305FF"/>
    <w:rsid w:val="00C30DB9"/>
    <w:rsid w:val="00C32292"/>
    <w:rsid w:val="00C32E4A"/>
    <w:rsid w:val="00C33C00"/>
    <w:rsid w:val="00C33F81"/>
    <w:rsid w:val="00C34986"/>
    <w:rsid w:val="00C377E1"/>
    <w:rsid w:val="00C41099"/>
    <w:rsid w:val="00C4133D"/>
    <w:rsid w:val="00C41382"/>
    <w:rsid w:val="00C426CF"/>
    <w:rsid w:val="00C42A8F"/>
    <w:rsid w:val="00C42FCB"/>
    <w:rsid w:val="00C4468D"/>
    <w:rsid w:val="00C45E9E"/>
    <w:rsid w:val="00C46038"/>
    <w:rsid w:val="00C46AF5"/>
    <w:rsid w:val="00C47172"/>
    <w:rsid w:val="00C47D4E"/>
    <w:rsid w:val="00C50D0D"/>
    <w:rsid w:val="00C52815"/>
    <w:rsid w:val="00C546FE"/>
    <w:rsid w:val="00C54C40"/>
    <w:rsid w:val="00C54FE6"/>
    <w:rsid w:val="00C557DC"/>
    <w:rsid w:val="00C56F68"/>
    <w:rsid w:val="00C6140F"/>
    <w:rsid w:val="00C61F37"/>
    <w:rsid w:val="00C629A8"/>
    <w:rsid w:val="00C661A1"/>
    <w:rsid w:val="00C72E2D"/>
    <w:rsid w:val="00C733C4"/>
    <w:rsid w:val="00C7426F"/>
    <w:rsid w:val="00C7627F"/>
    <w:rsid w:val="00C80629"/>
    <w:rsid w:val="00C81EDD"/>
    <w:rsid w:val="00C82A8B"/>
    <w:rsid w:val="00C82C91"/>
    <w:rsid w:val="00C84BEB"/>
    <w:rsid w:val="00C84D0A"/>
    <w:rsid w:val="00C84F6C"/>
    <w:rsid w:val="00C85A90"/>
    <w:rsid w:val="00C8660A"/>
    <w:rsid w:val="00C87386"/>
    <w:rsid w:val="00C87853"/>
    <w:rsid w:val="00C91475"/>
    <w:rsid w:val="00C91E87"/>
    <w:rsid w:val="00C9271C"/>
    <w:rsid w:val="00C94B12"/>
    <w:rsid w:val="00C97040"/>
    <w:rsid w:val="00CA0C06"/>
    <w:rsid w:val="00CA0D13"/>
    <w:rsid w:val="00CA0FA7"/>
    <w:rsid w:val="00CA2823"/>
    <w:rsid w:val="00CA29C1"/>
    <w:rsid w:val="00CA396D"/>
    <w:rsid w:val="00CA44E7"/>
    <w:rsid w:val="00CA5179"/>
    <w:rsid w:val="00CA5A4F"/>
    <w:rsid w:val="00CA5A88"/>
    <w:rsid w:val="00CA5ECF"/>
    <w:rsid w:val="00CA60FF"/>
    <w:rsid w:val="00CA6634"/>
    <w:rsid w:val="00CA7942"/>
    <w:rsid w:val="00CB0543"/>
    <w:rsid w:val="00CB24F8"/>
    <w:rsid w:val="00CB2611"/>
    <w:rsid w:val="00CB2626"/>
    <w:rsid w:val="00CB50E7"/>
    <w:rsid w:val="00CB575B"/>
    <w:rsid w:val="00CB57E7"/>
    <w:rsid w:val="00CB6629"/>
    <w:rsid w:val="00CB736C"/>
    <w:rsid w:val="00CC0927"/>
    <w:rsid w:val="00CC125A"/>
    <w:rsid w:val="00CC14F7"/>
    <w:rsid w:val="00CC4BDF"/>
    <w:rsid w:val="00CC50F4"/>
    <w:rsid w:val="00CC5653"/>
    <w:rsid w:val="00CC69B7"/>
    <w:rsid w:val="00CC7C02"/>
    <w:rsid w:val="00CC7D45"/>
    <w:rsid w:val="00CC7E06"/>
    <w:rsid w:val="00CD04F7"/>
    <w:rsid w:val="00CD0808"/>
    <w:rsid w:val="00CD0FEC"/>
    <w:rsid w:val="00CD24E3"/>
    <w:rsid w:val="00CD3530"/>
    <w:rsid w:val="00CD39F9"/>
    <w:rsid w:val="00CD3FAA"/>
    <w:rsid w:val="00CD4065"/>
    <w:rsid w:val="00CD4B01"/>
    <w:rsid w:val="00CD63AE"/>
    <w:rsid w:val="00CD6C50"/>
    <w:rsid w:val="00CD731A"/>
    <w:rsid w:val="00CD7ECE"/>
    <w:rsid w:val="00CD7F41"/>
    <w:rsid w:val="00CE0B2E"/>
    <w:rsid w:val="00CE15F5"/>
    <w:rsid w:val="00CE21E0"/>
    <w:rsid w:val="00CE2D9D"/>
    <w:rsid w:val="00CE3CCA"/>
    <w:rsid w:val="00CE454D"/>
    <w:rsid w:val="00CE4B7E"/>
    <w:rsid w:val="00CE515F"/>
    <w:rsid w:val="00CE53C3"/>
    <w:rsid w:val="00CE67D1"/>
    <w:rsid w:val="00CF0AEC"/>
    <w:rsid w:val="00CF1292"/>
    <w:rsid w:val="00CF1381"/>
    <w:rsid w:val="00CF139D"/>
    <w:rsid w:val="00CF1677"/>
    <w:rsid w:val="00CF2107"/>
    <w:rsid w:val="00CF7CF4"/>
    <w:rsid w:val="00D00967"/>
    <w:rsid w:val="00D00E2B"/>
    <w:rsid w:val="00D01ED3"/>
    <w:rsid w:val="00D02054"/>
    <w:rsid w:val="00D02442"/>
    <w:rsid w:val="00D02EC4"/>
    <w:rsid w:val="00D0427A"/>
    <w:rsid w:val="00D043DB"/>
    <w:rsid w:val="00D069F8"/>
    <w:rsid w:val="00D06EB4"/>
    <w:rsid w:val="00D07C15"/>
    <w:rsid w:val="00D13110"/>
    <w:rsid w:val="00D1407F"/>
    <w:rsid w:val="00D14816"/>
    <w:rsid w:val="00D14950"/>
    <w:rsid w:val="00D14DA5"/>
    <w:rsid w:val="00D14F5A"/>
    <w:rsid w:val="00D17203"/>
    <w:rsid w:val="00D200C2"/>
    <w:rsid w:val="00D20718"/>
    <w:rsid w:val="00D20F45"/>
    <w:rsid w:val="00D2108F"/>
    <w:rsid w:val="00D21271"/>
    <w:rsid w:val="00D216DA"/>
    <w:rsid w:val="00D21736"/>
    <w:rsid w:val="00D2214D"/>
    <w:rsid w:val="00D22882"/>
    <w:rsid w:val="00D22B78"/>
    <w:rsid w:val="00D24A48"/>
    <w:rsid w:val="00D24DC4"/>
    <w:rsid w:val="00D25360"/>
    <w:rsid w:val="00D256F3"/>
    <w:rsid w:val="00D25958"/>
    <w:rsid w:val="00D2644E"/>
    <w:rsid w:val="00D27276"/>
    <w:rsid w:val="00D274B3"/>
    <w:rsid w:val="00D27C03"/>
    <w:rsid w:val="00D30FBF"/>
    <w:rsid w:val="00D3196E"/>
    <w:rsid w:val="00D336A9"/>
    <w:rsid w:val="00D34AB5"/>
    <w:rsid w:val="00D351BE"/>
    <w:rsid w:val="00D3560D"/>
    <w:rsid w:val="00D35B68"/>
    <w:rsid w:val="00D35FEC"/>
    <w:rsid w:val="00D36C72"/>
    <w:rsid w:val="00D4020A"/>
    <w:rsid w:val="00D410A1"/>
    <w:rsid w:val="00D415C4"/>
    <w:rsid w:val="00D42C56"/>
    <w:rsid w:val="00D42F34"/>
    <w:rsid w:val="00D434B8"/>
    <w:rsid w:val="00D439C9"/>
    <w:rsid w:val="00D448EC"/>
    <w:rsid w:val="00D46038"/>
    <w:rsid w:val="00D47102"/>
    <w:rsid w:val="00D477AB"/>
    <w:rsid w:val="00D47AF9"/>
    <w:rsid w:val="00D55185"/>
    <w:rsid w:val="00D56D4C"/>
    <w:rsid w:val="00D57AC3"/>
    <w:rsid w:val="00D60707"/>
    <w:rsid w:val="00D60D58"/>
    <w:rsid w:val="00D611E5"/>
    <w:rsid w:val="00D620BE"/>
    <w:rsid w:val="00D631F3"/>
    <w:rsid w:val="00D63E6D"/>
    <w:rsid w:val="00D63FFD"/>
    <w:rsid w:val="00D64FFC"/>
    <w:rsid w:val="00D65995"/>
    <w:rsid w:val="00D67FBA"/>
    <w:rsid w:val="00D7077C"/>
    <w:rsid w:val="00D71E5C"/>
    <w:rsid w:val="00D7202F"/>
    <w:rsid w:val="00D72D56"/>
    <w:rsid w:val="00D72E4C"/>
    <w:rsid w:val="00D73D9A"/>
    <w:rsid w:val="00D74980"/>
    <w:rsid w:val="00D75A38"/>
    <w:rsid w:val="00D81AA4"/>
    <w:rsid w:val="00D81D76"/>
    <w:rsid w:val="00D826F4"/>
    <w:rsid w:val="00D82AF0"/>
    <w:rsid w:val="00D83B8E"/>
    <w:rsid w:val="00D84016"/>
    <w:rsid w:val="00D843A3"/>
    <w:rsid w:val="00D85BF0"/>
    <w:rsid w:val="00D85FC9"/>
    <w:rsid w:val="00D865A6"/>
    <w:rsid w:val="00D878F8"/>
    <w:rsid w:val="00D87C87"/>
    <w:rsid w:val="00D87E46"/>
    <w:rsid w:val="00D87E7F"/>
    <w:rsid w:val="00D90979"/>
    <w:rsid w:val="00D90C5C"/>
    <w:rsid w:val="00D90D7C"/>
    <w:rsid w:val="00D930C7"/>
    <w:rsid w:val="00D93715"/>
    <w:rsid w:val="00D952E5"/>
    <w:rsid w:val="00DA043C"/>
    <w:rsid w:val="00DA079B"/>
    <w:rsid w:val="00DA191A"/>
    <w:rsid w:val="00DA31F7"/>
    <w:rsid w:val="00DA3B40"/>
    <w:rsid w:val="00DA3EC5"/>
    <w:rsid w:val="00DA4129"/>
    <w:rsid w:val="00DA4374"/>
    <w:rsid w:val="00DA4478"/>
    <w:rsid w:val="00DA554D"/>
    <w:rsid w:val="00DA602C"/>
    <w:rsid w:val="00DB032B"/>
    <w:rsid w:val="00DB1084"/>
    <w:rsid w:val="00DB2326"/>
    <w:rsid w:val="00DB2533"/>
    <w:rsid w:val="00DB2CA7"/>
    <w:rsid w:val="00DB4018"/>
    <w:rsid w:val="00DB4763"/>
    <w:rsid w:val="00DB4779"/>
    <w:rsid w:val="00DB4EAA"/>
    <w:rsid w:val="00DB52BB"/>
    <w:rsid w:val="00DB7C6B"/>
    <w:rsid w:val="00DB7F8D"/>
    <w:rsid w:val="00DC1545"/>
    <w:rsid w:val="00DC53F4"/>
    <w:rsid w:val="00DC54A2"/>
    <w:rsid w:val="00DC7291"/>
    <w:rsid w:val="00DD0AA0"/>
    <w:rsid w:val="00DD1C95"/>
    <w:rsid w:val="00DD335A"/>
    <w:rsid w:val="00DD6513"/>
    <w:rsid w:val="00DE0C5E"/>
    <w:rsid w:val="00DE11D1"/>
    <w:rsid w:val="00DE2ED3"/>
    <w:rsid w:val="00DE3671"/>
    <w:rsid w:val="00DE4513"/>
    <w:rsid w:val="00DE4516"/>
    <w:rsid w:val="00DE4931"/>
    <w:rsid w:val="00DE57AE"/>
    <w:rsid w:val="00DF03CA"/>
    <w:rsid w:val="00DF0904"/>
    <w:rsid w:val="00DF15F9"/>
    <w:rsid w:val="00DF294F"/>
    <w:rsid w:val="00DF2B78"/>
    <w:rsid w:val="00DF3E53"/>
    <w:rsid w:val="00DF5A06"/>
    <w:rsid w:val="00DF690F"/>
    <w:rsid w:val="00DF76E4"/>
    <w:rsid w:val="00E010EB"/>
    <w:rsid w:val="00E0141C"/>
    <w:rsid w:val="00E015EC"/>
    <w:rsid w:val="00E02746"/>
    <w:rsid w:val="00E0339E"/>
    <w:rsid w:val="00E03BBB"/>
    <w:rsid w:val="00E03E00"/>
    <w:rsid w:val="00E073CA"/>
    <w:rsid w:val="00E1169F"/>
    <w:rsid w:val="00E11A9F"/>
    <w:rsid w:val="00E14210"/>
    <w:rsid w:val="00E14A7E"/>
    <w:rsid w:val="00E16F5C"/>
    <w:rsid w:val="00E17BF9"/>
    <w:rsid w:val="00E20308"/>
    <w:rsid w:val="00E20775"/>
    <w:rsid w:val="00E22079"/>
    <w:rsid w:val="00E23566"/>
    <w:rsid w:val="00E24545"/>
    <w:rsid w:val="00E24C99"/>
    <w:rsid w:val="00E25066"/>
    <w:rsid w:val="00E253D3"/>
    <w:rsid w:val="00E26242"/>
    <w:rsid w:val="00E276C8"/>
    <w:rsid w:val="00E30677"/>
    <w:rsid w:val="00E32780"/>
    <w:rsid w:val="00E33130"/>
    <w:rsid w:val="00E336AC"/>
    <w:rsid w:val="00E36142"/>
    <w:rsid w:val="00E36CE9"/>
    <w:rsid w:val="00E3726D"/>
    <w:rsid w:val="00E4180A"/>
    <w:rsid w:val="00E41AB2"/>
    <w:rsid w:val="00E428BB"/>
    <w:rsid w:val="00E43A21"/>
    <w:rsid w:val="00E4421E"/>
    <w:rsid w:val="00E44249"/>
    <w:rsid w:val="00E4566A"/>
    <w:rsid w:val="00E4642F"/>
    <w:rsid w:val="00E50BE2"/>
    <w:rsid w:val="00E51B7D"/>
    <w:rsid w:val="00E52F26"/>
    <w:rsid w:val="00E5310C"/>
    <w:rsid w:val="00E54C9C"/>
    <w:rsid w:val="00E56A89"/>
    <w:rsid w:val="00E56C84"/>
    <w:rsid w:val="00E60D97"/>
    <w:rsid w:val="00E61931"/>
    <w:rsid w:val="00E61BE7"/>
    <w:rsid w:val="00E62A7D"/>
    <w:rsid w:val="00E63590"/>
    <w:rsid w:val="00E64273"/>
    <w:rsid w:val="00E64749"/>
    <w:rsid w:val="00E67262"/>
    <w:rsid w:val="00E6789C"/>
    <w:rsid w:val="00E70D7B"/>
    <w:rsid w:val="00E729D3"/>
    <w:rsid w:val="00E743F0"/>
    <w:rsid w:val="00E77FCB"/>
    <w:rsid w:val="00E80CB2"/>
    <w:rsid w:val="00E81BA5"/>
    <w:rsid w:val="00E84E2D"/>
    <w:rsid w:val="00E869CA"/>
    <w:rsid w:val="00E87423"/>
    <w:rsid w:val="00E87B1A"/>
    <w:rsid w:val="00E87CE8"/>
    <w:rsid w:val="00E9166A"/>
    <w:rsid w:val="00E91FB5"/>
    <w:rsid w:val="00E93B54"/>
    <w:rsid w:val="00E93D06"/>
    <w:rsid w:val="00E93DC0"/>
    <w:rsid w:val="00E943AE"/>
    <w:rsid w:val="00E9458A"/>
    <w:rsid w:val="00E9472D"/>
    <w:rsid w:val="00E950CF"/>
    <w:rsid w:val="00E958ED"/>
    <w:rsid w:val="00E9690A"/>
    <w:rsid w:val="00E96995"/>
    <w:rsid w:val="00EA0416"/>
    <w:rsid w:val="00EA10C3"/>
    <w:rsid w:val="00EA1367"/>
    <w:rsid w:val="00EA1563"/>
    <w:rsid w:val="00EA2E95"/>
    <w:rsid w:val="00EA3DF1"/>
    <w:rsid w:val="00EA4CD2"/>
    <w:rsid w:val="00EA710B"/>
    <w:rsid w:val="00EA7B0F"/>
    <w:rsid w:val="00EA7D9B"/>
    <w:rsid w:val="00EB0373"/>
    <w:rsid w:val="00EB146F"/>
    <w:rsid w:val="00EB1ED7"/>
    <w:rsid w:val="00EB2AD1"/>
    <w:rsid w:val="00EB4325"/>
    <w:rsid w:val="00EB4C89"/>
    <w:rsid w:val="00EC065C"/>
    <w:rsid w:val="00EC1381"/>
    <w:rsid w:val="00EC15B0"/>
    <w:rsid w:val="00EC2A0E"/>
    <w:rsid w:val="00EC3580"/>
    <w:rsid w:val="00EC6D76"/>
    <w:rsid w:val="00ED0821"/>
    <w:rsid w:val="00ED2A59"/>
    <w:rsid w:val="00ED2C5B"/>
    <w:rsid w:val="00ED3C93"/>
    <w:rsid w:val="00ED42EA"/>
    <w:rsid w:val="00ED6065"/>
    <w:rsid w:val="00EE0BAB"/>
    <w:rsid w:val="00EE0E18"/>
    <w:rsid w:val="00EE1660"/>
    <w:rsid w:val="00EE28F8"/>
    <w:rsid w:val="00EE3B9C"/>
    <w:rsid w:val="00EE440C"/>
    <w:rsid w:val="00EE4589"/>
    <w:rsid w:val="00EE5DA6"/>
    <w:rsid w:val="00EE647A"/>
    <w:rsid w:val="00EE70E9"/>
    <w:rsid w:val="00EE7A54"/>
    <w:rsid w:val="00EF04FE"/>
    <w:rsid w:val="00EF150E"/>
    <w:rsid w:val="00EF1A0A"/>
    <w:rsid w:val="00EF32FB"/>
    <w:rsid w:val="00EF3AF9"/>
    <w:rsid w:val="00EF4517"/>
    <w:rsid w:val="00EF4BEC"/>
    <w:rsid w:val="00EF5DBA"/>
    <w:rsid w:val="00EF5F5D"/>
    <w:rsid w:val="00EF69FE"/>
    <w:rsid w:val="00F0057F"/>
    <w:rsid w:val="00F01F56"/>
    <w:rsid w:val="00F043E0"/>
    <w:rsid w:val="00F04993"/>
    <w:rsid w:val="00F06A41"/>
    <w:rsid w:val="00F06E8B"/>
    <w:rsid w:val="00F073FC"/>
    <w:rsid w:val="00F0785A"/>
    <w:rsid w:val="00F105AF"/>
    <w:rsid w:val="00F109C4"/>
    <w:rsid w:val="00F10DCB"/>
    <w:rsid w:val="00F10E9F"/>
    <w:rsid w:val="00F11579"/>
    <w:rsid w:val="00F11606"/>
    <w:rsid w:val="00F12D40"/>
    <w:rsid w:val="00F13717"/>
    <w:rsid w:val="00F140D8"/>
    <w:rsid w:val="00F14AA5"/>
    <w:rsid w:val="00F14CDB"/>
    <w:rsid w:val="00F1503F"/>
    <w:rsid w:val="00F1710B"/>
    <w:rsid w:val="00F222FE"/>
    <w:rsid w:val="00F2285D"/>
    <w:rsid w:val="00F23D14"/>
    <w:rsid w:val="00F23D7D"/>
    <w:rsid w:val="00F25EB1"/>
    <w:rsid w:val="00F265A5"/>
    <w:rsid w:val="00F27113"/>
    <w:rsid w:val="00F3225D"/>
    <w:rsid w:val="00F322D8"/>
    <w:rsid w:val="00F33204"/>
    <w:rsid w:val="00F34224"/>
    <w:rsid w:val="00F34495"/>
    <w:rsid w:val="00F34CCB"/>
    <w:rsid w:val="00F34D00"/>
    <w:rsid w:val="00F35D67"/>
    <w:rsid w:val="00F36006"/>
    <w:rsid w:val="00F37208"/>
    <w:rsid w:val="00F37235"/>
    <w:rsid w:val="00F40B05"/>
    <w:rsid w:val="00F4339E"/>
    <w:rsid w:val="00F4339F"/>
    <w:rsid w:val="00F44B8D"/>
    <w:rsid w:val="00F44BAE"/>
    <w:rsid w:val="00F4585E"/>
    <w:rsid w:val="00F46B60"/>
    <w:rsid w:val="00F4717F"/>
    <w:rsid w:val="00F5019B"/>
    <w:rsid w:val="00F5048F"/>
    <w:rsid w:val="00F50AF9"/>
    <w:rsid w:val="00F50E3C"/>
    <w:rsid w:val="00F51757"/>
    <w:rsid w:val="00F52DFA"/>
    <w:rsid w:val="00F53284"/>
    <w:rsid w:val="00F5338F"/>
    <w:rsid w:val="00F53721"/>
    <w:rsid w:val="00F5789E"/>
    <w:rsid w:val="00F579F3"/>
    <w:rsid w:val="00F57C68"/>
    <w:rsid w:val="00F60EAD"/>
    <w:rsid w:val="00F61CC1"/>
    <w:rsid w:val="00F61DB0"/>
    <w:rsid w:val="00F62344"/>
    <w:rsid w:val="00F63351"/>
    <w:rsid w:val="00F633CD"/>
    <w:rsid w:val="00F64B32"/>
    <w:rsid w:val="00F65717"/>
    <w:rsid w:val="00F6628C"/>
    <w:rsid w:val="00F66E0A"/>
    <w:rsid w:val="00F702BB"/>
    <w:rsid w:val="00F7092F"/>
    <w:rsid w:val="00F72355"/>
    <w:rsid w:val="00F73F35"/>
    <w:rsid w:val="00F75279"/>
    <w:rsid w:val="00F760C1"/>
    <w:rsid w:val="00F76CD6"/>
    <w:rsid w:val="00F77011"/>
    <w:rsid w:val="00F809FF"/>
    <w:rsid w:val="00F81147"/>
    <w:rsid w:val="00F81752"/>
    <w:rsid w:val="00F824C5"/>
    <w:rsid w:val="00F83D0A"/>
    <w:rsid w:val="00F85098"/>
    <w:rsid w:val="00F85893"/>
    <w:rsid w:val="00F86D75"/>
    <w:rsid w:val="00F86EEF"/>
    <w:rsid w:val="00F877DA"/>
    <w:rsid w:val="00F91045"/>
    <w:rsid w:val="00F910DD"/>
    <w:rsid w:val="00F911E0"/>
    <w:rsid w:val="00F91431"/>
    <w:rsid w:val="00F91A56"/>
    <w:rsid w:val="00F93770"/>
    <w:rsid w:val="00F95B76"/>
    <w:rsid w:val="00F96069"/>
    <w:rsid w:val="00F96AF5"/>
    <w:rsid w:val="00F974C3"/>
    <w:rsid w:val="00F97701"/>
    <w:rsid w:val="00F97E06"/>
    <w:rsid w:val="00FA1420"/>
    <w:rsid w:val="00FA1A54"/>
    <w:rsid w:val="00FA28D7"/>
    <w:rsid w:val="00FA378C"/>
    <w:rsid w:val="00FA3E4D"/>
    <w:rsid w:val="00FA4739"/>
    <w:rsid w:val="00FA5F60"/>
    <w:rsid w:val="00FA68BC"/>
    <w:rsid w:val="00FA6EA3"/>
    <w:rsid w:val="00FB0CF7"/>
    <w:rsid w:val="00FB0E6D"/>
    <w:rsid w:val="00FB1604"/>
    <w:rsid w:val="00FB1A4A"/>
    <w:rsid w:val="00FB1EB7"/>
    <w:rsid w:val="00FB3625"/>
    <w:rsid w:val="00FB4B99"/>
    <w:rsid w:val="00FB4E00"/>
    <w:rsid w:val="00FB5C17"/>
    <w:rsid w:val="00FB63EB"/>
    <w:rsid w:val="00FB64C9"/>
    <w:rsid w:val="00FC0783"/>
    <w:rsid w:val="00FC0DA9"/>
    <w:rsid w:val="00FC2271"/>
    <w:rsid w:val="00FC2701"/>
    <w:rsid w:val="00FC42EE"/>
    <w:rsid w:val="00FC4C03"/>
    <w:rsid w:val="00FC4C9A"/>
    <w:rsid w:val="00FC5451"/>
    <w:rsid w:val="00FC5D94"/>
    <w:rsid w:val="00FC6A41"/>
    <w:rsid w:val="00FC7872"/>
    <w:rsid w:val="00FD088E"/>
    <w:rsid w:val="00FD0D8F"/>
    <w:rsid w:val="00FD182B"/>
    <w:rsid w:val="00FD294E"/>
    <w:rsid w:val="00FD4979"/>
    <w:rsid w:val="00FD502F"/>
    <w:rsid w:val="00FD6E06"/>
    <w:rsid w:val="00FD6ED9"/>
    <w:rsid w:val="00FD6FBA"/>
    <w:rsid w:val="00FD7C91"/>
    <w:rsid w:val="00FD7C96"/>
    <w:rsid w:val="00FE1897"/>
    <w:rsid w:val="00FE4979"/>
    <w:rsid w:val="00FE620B"/>
    <w:rsid w:val="00FE6D2F"/>
    <w:rsid w:val="00FF08FD"/>
    <w:rsid w:val="00FF1449"/>
    <w:rsid w:val="00FF2189"/>
    <w:rsid w:val="00FF2AA7"/>
    <w:rsid w:val="00FF38A4"/>
    <w:rsid w:val="00FF4703"/>
    <w:rsid w:val="00FF4876"/>
    <w:rsid w:val="00FF4CAE"/>
    <w:rsid w:val="00FF7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7378"/>
    <o:shapelayout v:ext="edit">
      <o:idmap v:ext="edit" data="1"/>
      <o:rules v:ext="edit">
        <o:r id="V:Rule9" type="connector" idref="#_x0000_s1039"/>
        <o:r id="V:Rule10" type="connector" idref="#_x0000_s1030"/>
        <o:r id="V:Rule11" type="connector" idref="#_x0000_s1026"/>
        <o:r id="V:Rule12" type="connector" idref="#_x0000_s1029"/>
        <o:r id="V:Rule13" type="connector" idref="#_x0000_s1036"/>
        <o:r id="V:Rule14" type="connector" idref="#_x0000_s1040"/>
        <o:r id="V:Rule15" type="connector" idref="#_x0000_s1038"/>
        <o:r id="V:Rule1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6AB"/>
  </w:style>
  <w:style w:type="paragraph" w:styleId="Heading2">
    <w:name w:val="heading 2"/>
    <w:basedOn w:val="Normal"/>
    <w:next w:val="Normal"/>
    <w:link w:val="Heading2Char"/>
    <w:uiPriority w:val="9"/>
    <w:unhideWhenUsed/>
    <w:qFormat/>
    <w:rsid w:val="006175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5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502B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2BDC"/>
  </w:style>
  <w:style w:type="paragraph" w:styleId="Footer">
    <w:name w:val="footer"/>
    <w:basedOn w:val="Normal"/>
    <w:link w:val="FooterChar"/>
    <w:uiPriority w:val="99"/>
    <w:unhideWhenUsed/>
    <w:rsid w:val="00502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BDC"/>
  </w:style>
  <w:style w:type="paragraph" w:styleId="ListParagraph">
    <w:name w:val="List Paragraph"/>
    <w:basedOn w:val="Normal"/>
    <w:uiPriority w:val="34"/>
    <w:qFormat/>
    <w:rsid w:val="00B71C16"/>
    <w:pPr>
      <w:ind w:left="720"/>
      <w:contextualSpacing/>
    </w:pPr>
  </w:style>
  <w:style w:type="paragraph" w:styleId="FootnoteText">
    <w:name w:val="footnote text"/>
    <w:basedOn w:val="Normal"/>
    <w:link w:val="FootnoteTextChar"/>
    <w:uiPriority w:val="99"/>
    <w:semiHidden/>
    <w:unhideWhenUsed/>
    <w:rsid w:val="004D2B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BBA"/>
    <w:rPr>
      <w:sz w:val="20"/>
      <w:szCs w:val="20"/>
    </w:rPr>
  </w:style>
  <w:style w:type="character" w:styleId="FootnoteReference">
    <w:name w:val="footnote reference"/>
    <w:basedOn w:val="DefaultParagraphFont"/>
    <w:uiPriority w:val="99"/>
    <w:semiHidden/>
    <w:unhideWhenUsed/>
    <w:rsid w:val="004D2BBA"/>
    <w:rPr>
      <w:vertAlign w:val="superscript"/>
    </w:rPr>
  </w:style>
  <w:style w:type="paragraph" w:styleId="EndnoteText">
    <w:name w:val="endnote text"/>
    <w:basedOn w:val="Normal"/>
    <w:link w:val="EndnoteTextChar"/>
    <w:uiPriority w:val="99"/>
    <w:semiHidden/>
    <w:unhideWhenUsed/>
    <w:rsid w:val="00004C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4C0B"/>
    <w:rPr>
      <w:sz w:val="20"/>
      <w:szCs w:val="20"/>
    </w:rPr>
  </w:style>
  <w:style w:type="character" w:styleId="EndnoteReference">
    <w:name w:val="endnote reference"/>
    <w:basedOn w:val="DefaultParagraphFont"/>
    <w:uiPriority w:val="99"/>
    <w:semiHidden/>
    <w:unhideWhenUsed/>
    <w:rsid w:val="00004C0B"/>
    <w:rPr>
      <w:vertAlign w:val="superscript"/>
    </w:rPr>
  </w:style>
  <w:style w:type="paragraph" w:styleId="BalloonText">
    <w:name w:val="Balloon Text"/>
    <w:basedOn w:val="Normal"/>
    <w:link w:val="BalloonTextChar"/>
    <w:uiPriority w:val="99"/>
    <w:semiHidden/>
    <w:unhideWhenUsed/>
    <w:rsid w:val="00526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31"/>
    <w:rPr>
      <w:rFonts w:ascii="Tahoma" w:hAnsi="Tahoma" w:cs="Tahoma"/>
      <w:sz w:val="16"/>
      <w:szCs w:val="16"/>
    </w:rPr>
  </w:style>
  <w:style w:type="table" w:styleId="TableGrid">
    <w:name w:val="Table Grid"/>
    <w:basedOn w:val="TableNormal"/>
    <w:uiPriority w:val="59"/>
    <w:rsid w:val="009525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A1CA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F2A075-E469-407E-B701-21FFECFFB995}" type="doc">
      <dgm:prSet loTypeId="urn:microsoft.com/office/officeart/2005/8/layout/process1" loCatId="process" qsTypeId="urn:microsoft.com/office/officeart/2005/8/quickstyle/simple1" qsCatId="simple" csTypeId="urn:microsoft.com/office/officeart/2005/8/colors/accent0_1" csCatId="mainScheme" phldr="1"/>
      <dgm:spPr/>
    </dgm:pt>
    <dgm:pt modelId="{D95FA2B3-E5F1-45DD-954F-2A5C5F2B3245}">
      <dgm:prSet phldrT="[Text]"/>
      <dgm:spPr/>
      <dgm:t>
        <a:bodyPr/>
        <a:lstStyle/>
        <a:p>
          <a:r>
            <a:rPr lang="en-US">
              <a:solidFill>
                <a:sysClr val="windowText" lastClr="000000"/>
              </a:solidFill>
            </a:rPr>
            <a:t>Trivialized Nature</a:t>
          </a:r>
        </a:p>
      </dgm:t>
    </dgm:pt>
    <dgm:pt modelId="{D41E297F-3722-4393-B8CC-6611C655F6B4}" type="parTrans" cxnId="{C1BA4BD0-1EC3-4C04-AED9-5A915E62553C}">
      <dgm:prSet/>
      <dgm:spPr/>
      <dgm:t>
        <a:bodyPr/>
        <a:lstStyle/>
        <a:p>
          <a:endParaRPr lang="en-US"/>
        </a:p>
      </dgm:t>
    </dgm:pt>
    <dgm:pt modelId="{47DB425F-0D1A-4B3A-83DA-426FEA37201C}" type="sibTrans" cxnId="{C1BA4BD0-1EC3-4C04-AED9-5A915E62553C}">
      <dgm:prSet/>
      <dgm:spPr/>
      <dgm:t>
        <a:bodyPr/>
        <a:lstStyle/>
        <a:p>
          <a:endParaRPr lang="en-US"/>
        </a:p>
      </dgm:t>
    </dgm:pt>
    <dgm:pt modelId="{3471098A-ECC6-4403-A87E-D31479CBB904}">
      <dgm:prSet phldrT="[Text]"/>
      <dgm:spPr/>
      <dgm:t>
        <a:bodyPr/>
        <a:lstStyle/>
        <a:p>
          <a:r>
            <a:rPr lang="en-US">
              <a:solidFill>
                <a:sysClr val="windowText" lastClr="000000"/>
              </a:solidFill>
            </a:rPr>
            <a:t>Nuptial Mystery</a:t>
          </a:r>
        </a:p>
      </dgm:t>
    </dgm:pt>
    <dgm:pt modelId="{0F8D1EAA-6EE5-479E-B9F3-35324B08C503}" type="parTrans" cxnId="{CBA4DB1B-5E9F-4FB5-A7B4-E49B07003278}">
      <dgm:prSet/>
      <dgm:spPr/>
      <dgm:t>
        <a:bodyPr/>
        <a:lstStyle/>
        <a:p>
          <a:endParaRPr lang="en-US"/>
        </a:p>
      </dgm:t>
    </dgm:pt>
    <dgm:pt modelId="{A63F8E2D-C79F-4B05-B4A8-C888C377425E}" type="sibTrans" cxnId="{CBA4DB1B-5E9F-4FB5-A7B4-E49B07003278}">
      <dgm:prSet/>
      <dgm:spPr/>
      <dgm:t>
        <a:bodyPr/>
        <a:lstStyle/>
        <a:p>
          <a:endParaRPr lang="en-US"/>
        </a:p>
      </dgm:t>
    </dgm:pt>
    <dgm:pt modelId="{9894C381-4702-43B0-982E-4C84EA237EA7}" type="pres">
      <dgm:prSet presAssocID="{71F2A075-E469-407E-B701-21FFECFFB995}" presName="Name0" presStyleCnt="0">
        <dgm:presLayoutVars>
          <dgm:dir/>
          <dgm:resizeHandles val="exact"/>
        </dgm:presLayoutVars>
      </dgm:prSet>
      <dgm:spPr/>
    </dgm:pt>
    <dgm:pt modelId="{046CFBA6-40E3-46A3-91AE-DADBA4F6C454}" type="pres">
      <dgm:prSet presAssocID="{D95FA2B3-E5F1-45DD-954F-2A5C5F2B3245}" presName="node" presStyleLbl="node1" presStyleIdx="0" presStyleCnt="2">
        <dgm:presLayoutVars>
          <dgm:bulletEnabled val="1"/>
        </dgm:presLayoutVars>
      </dgm:prSet>
      <dgm:spPr/>
      <dgm:t>
        <a:bodyPr/>
        <a:lstStyle/>
        <a:p>
          <a:endParaRPr lang="en-US"/>
        </a:p>
      </dgm:t>
    </dgm:pt>
    <dgm:pt modelId="{05A68C2F-C79E-4B71-AC84-E73E0C2BA566}" type="pres">
      <dgm:prSet presAssocID="{47DB425F-0D1A-4B3A-83DA-426FEA37201C}" presName="sibTrans" presStyleLbl="sibTrans2D1" presStyleIdx="0" presStyleCnt="1" custScaleX="163580"/>
      <dgm:spPr>
        <a:prstGeom prst="leftRightArrow">
          <a:avLst/>
        </a:prstGeom>
      </dgm:spPr>
      <dgm:t>
        <a:bodyPr/>
        <a:lstStyle/>
        <a:p>
          <a:endParaRPr lang="en-US"/>
        </a:p>
      </dgm:t>
    </dgm:pt>
    <dgm:pt modelId="{A5338F22-680F-411F-8A06-ADD42C167BB2}" type="pres">
      <dgm:prSet presAssocID="{47DB425F-0D1A-4B3A-83DA-426FEA37201C}" presName="connectorText" presStyleLbl="sibTrans2D1" presStyleIdx="0" presStyleCnt="1"/>
      <dgm:spPr/>
      <dgm:t>
        <a:bodyPr/>
        <a:lstStyle/>
        <a:p>
          <a:endParaRPr lang="en-US"/>
        </a:p>
      </dgm:t>
    </dgm:pt>
    <dgm:pt modelId="{0315C4F1-8EF3-47A9-A7D5-BD7ECD8745DC}" type="pres">
      <dgm:prSet presAssocID="{3471098A-ECC6-4403-A87E-D31479CBB904}" presName="node" presStyleLbl="node1" presStyleIdx="1" presStyleCnt="2">
        <dgm:presLayoutVars>
          <dgm:bulletEnabled val="1"/>
        </dgm:presLayoutVars>
      </dgm:prSet>
      <dgm:spPr/>
      <dgm:t>
        <a:bodyPr/>
        <a:lstStyle/>
        <a:p>
          <a:endParaRPr lang="en-US"/>
        </a:p>
      </dgm:t>
    </dgm:pt>
  </dgm:ptLst>
  <dgm:cxnLst>
    <dgm:cxn modelId="{C1BA4BD0-1EC3-4C04-AED9-5A915E62553C}" srcId="{71F2A075-E469-407E-B701-21FFECFFB995}" destId="{D95FA2B3-E5F1-45DD-954F-2A5C5F2B3245}" srcOrd="0" destOrd="0" parTransId="{D41E297F-3722-4393-B8CC-6611C655F6B4}" sibTransId="{47DB425F-0D1A-4B3A-83DA-426FEA37201C}"/>
    <dgm:cxn modelId="{CBA4DB1B-5E9F-4FB5-A7B4-E49B07003278}" srcId="{71F2A075-E469-407E-B701-21FFECFFB995}" destId="{3471098A-ECC6-4403-A87E-D31479CBB904}" srcOrd="1" destOrd="0" parTransId="{0F8D1EAA-6EE5-479E-B9F3-35324B08C503}" sibTransId="{A63F8E2D-C79F-4B05-B4A8-C888C377425E}"/>
    <dgm:cxn modelId="{689A434D-59B8-461A-864D-A8D075C9BA98}" type="presOf" srcId="{71F2A075-E469-407E-B701-21FFECFFB995}" destId="{9894C381-4702-43B0-982E-4C84EA237EA7}" srcOrd="0" destOrd="0" presId="urn:microsoft.com/office/officeart/2005/8/layout/process1"/>
    <dgm:cxn modelId="{18349131-620F-4DCB-8CA7-6A1DB507FE0B}" type="presOf" srcId="{47DB425F-0D1A-4B3A-83DA-426FEA37201C}" destId="{A5338F22-680F-411F-8A06-ADD42C167BB2}" srcOrd="1" destOrd="0" presId="urn:microsoft.com/office/officeart/2005/8/layout/process1"/>
    <dgm:cxn modelId="{A3A0D03E-3CE8-42C2-B0CE-8808CA3C19F8}" type="presOf" srcId="{3471098A-ECC6-4403-A87E-D31479CBB904}" destId="{0315C4F1-8EF3-47A9-A7D5-BD7ECD8745DC}" srcOrd="0" destOrd="0" presId="urn:microsoft.com/office/officeart/2005/8/layout/process1"/>
    <dgm:cxn modelId="{73C12E64-F18B-499B-A480-302D157C2F91}" type="presOf" srcId="{D95FA2B3-E5F1-45DD-954F-2A5C5F2B3245}" destId="{046CFBA6-40E3-46A3-91AE-DADBA4F6C454}" srcOrd="0" destOrd="0" presId="urn:microsoft.com/office/officeart/2005/8/layout/process1"/>
    <dgm:cxn modelId="{3F2E5C15-9386-4D28-B32B-15B9437F000F}" type="presOf" srcId="{47DB425F-0D1A-4B3A-83DA-426FEA37201C}" destId="{05A68C2F-C79E-4B71-AC84-E73E0C2BA566}" srcOrd="0" destOrd="0" presId="urn:microsoft.com/office/officeart/2005/8/layout/process1"/>
    <dgm:cxn modelId="{CD99ACFF-BCB8-4C1F-8D64-A15BCDF0AA5C}" type="presParOf" srcId="{9894C381-4702-43B0-982E-4C84EA237EA7}" destId="{046CFBA6-40E3-46A3-91AE-DADBA4F6C454}" srcOrd="0" destOrd="0" presId="urn:microsoft.com/office/officeart/2005/8/layout/process1"/>
    <dgm:cxn modelId="{B1B3ABC5-2EDD-455A-BE26-629B1759A092}" type="presParOf" srcId="{9894C381-4702-43B0-982E-4C84EA237EA7}" destId="{05A68C2F-C79E-4B71-AC84-E73E0C2BA566}" srcOrd="1" destOrd="0" presId="urn:microsoft.com/office/officeart/2005/8/layout/process1"/>
    <dgm:cxn modelId="{372AB7FB-9928-4D6C-940C-65696435BF1F}" type="presParOf" srcId="{05A68C2F-C79E-4B71-AC84-E73E0C2BA566}" destId="{A5338F22-680F-411F-8A06-ADD42C167BB2}" srcOrd="0" destOrd="0" presId="urn:microsoft.com/office/officeart/2005/8/layout/process1"/>
    <dgm:cxn modelId="{1E25AB12-8C6E-4036-84BE-71914650B99D}" type="presParOf" srcId="{9894C381-4702-43B0-982E-4C84EA237EA7}" destId="{0315C4F1-8EF3-47A9-A7D5-BD7ECD8745DC}" srcOrd="2" destOrd="0" presId="urn:microsoft.com/office/officeart/2005/8/layout/process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E9AD6B4-8DD4-45CB-82A1-875AFA6D3E46}" type="doc">
      <dgm:prSet loTypeId="urn:microsoft.com/office/officeart/2005/8/layout/cycle6" loCatId="cycle" qsTypeId="urn:microsoft.com/office/officeart/2005/8/quickstyle/simple1" qsCatId="simple" csTypeId="urn:microsoft.com/office/officeart/2005/8/colors/accent0_1" csCatId="mainScheme" phldr="1"/>
      <dgm:spPr/>
      <dgm:t>
        <a:bodyPr/>
        <a:lstStyle/>
        <a:p>
          <a:endParaRPr lang="en-US"/>
        </a:p>
      </dgm:t>
    </dgm:pt>
    <dgm:pt modelId="{4DE1C5D3-ABF3-47AD-8C32-CAAA838FA278}">
      <dgm:prSet phldrT="[Text]"/>
      <dgm:spPr/>
      <dgm:t>
        <a:bodyPr/>
        <a:lstStyle/>
        <a:p>
          <a:r>
            <a:rPr lang="en-US"/>
            <a:t>Nature</a:t>
          </a:r>
        </a:p>
      </dgm:t>
    </dgm:pt>
    <dgm:pt modelId="{43A5A679-DE84-47A6-9160-81E02998AF80}" type="parTrans" cxnId="{4190B84E-3DFC-4B66-B414-B7F3892B7779}">
      <dgm:prSet/>
      <dgm:spPr/>
      <dgm:t>
        <a:bodyPr/>
        <a:lstStyle/>
        <a:p>
          <a:endParaRPr lang="en-US"/>
        </a:p>
      </dgm:t>
    </dgm:pt>
    <dgm:pt modelId="{81AA0D90-071D-4F90-BB64-6E682764C612}" type="sibTrans" cxnId="{4190B84E-3DFC-4B66-B414-B7F3892B7779}">
      <dgm:prSet/>
      <dgm:spPr/>
      <dgm:t>
        <a:bodyPr/>
        <a:lstStyle/>
        <a:p>
          <a:endParaRPr lang="en-US"/>
        </a:p>
      </dgm:t>
    </dgm:pt>
    <dgm:pt modelId="{9DFA76BE-9E21-49F2-B8C9-589BB3F84155}">
      <dgm:prSet phldrT="[Text]"/>
      <dgm:spPr/>
      <dgm:t>
        <a:bodyPr/>
        <a:lstStyle/>
        <a:p>
          <a:r>
            <a:rPr lang="en-US"/>
            <a:t>Mystery</a:t>
          </a:r>
        </a:p>
      </dgm:t>
    </dgm:pt>
    <dgm:pt modelId="{AF047347-3E40-40AF-A064-1F7D55C45B8B}" type="parTrans" cxnId="{DC1E08A9-8BD9-4BEA-90FF-606FC451250B}">
      <dgm:prSet/>
      <dgm:spPr/>
      <dgm:t>
        <a:bodyPr/>
        <a:lstStyle/>
        <a:p>
          <a:endParaRPr lang="en-US"/>
        </a:p>
      </dgm:t>
    </dgm:pt>
    <dgm:pt modelId="{1EC0AE63-EA4B-4520-9A1D-AAC67E56D436}" type="sibTrans" cxnId="{DC1E08A9-8BD9-4BEA-90FF-606FC451250B}">
      <dgm:prSet/>
      <dgm:spPr/>
      <dgm:t>
        <a:bodyPr/>
        <a:lstStyle/>
        <a:p>
          <a:endParaRPr lang="en-US"/>
        </a:p>
      </dgm:t>
    </dgm:pt>
    <dgm:pt modelId="{46F5C1F0-8824-489F-8FBC-6BE8AD87D899}">
      <dgm:prSet phldrT="[Text]"/>
      <dgm:spPr/>
      <dgm:t>
        <a:bodyPr/>
        <a:lstStyle/>
        <a:p>
          <a:r>
            <a:rPr lang="en-US"/>
            <a:t>Mystification</a:t>
          </a:r>
        </a:p>
      </dgm:t>
    </dgm:pt>
    <dgm:pt modelId="{67508D2D-923C-4F37-A25A-26A4DA4552FB}" type="parTrans" cxnId="{FB9C9E0D-C83D-4823-ABAE-BB900FF4248A}">
      <dgm:prSet/>
      <dgm:spPr/>
      <dgm:t>
        <a:bodyPr/>
        <a:lstStyle/>
        <a:p>
          <a:endParaRPr lang="en-US"/>
        </a:p>
      </dgm:t>
    </dgm:pt>
    <dgm:pt modelId="{711196E3-B261-4462-87F1-FFFAF263658C}" type="sibTrans" cxnId="{FB9C9E0D-C83D-4823-ABAE-BB900FF4248A}">
      <dgm:prSet/>
      <dgm:spPr/>
      <dgm:t>
        <a:bodyPr/>
        <a:lstStyle/>
        <a:p>
          <a:endParaRPr lang="en-US"/>
        </a:p>
      </dgm:t>
    </dgm:pt>
    <dgm:pt modelId="{AFEF65E1-D7B6-49BE-A14D-F9324721299C}">
      <dgm:prSet phldrT="[Text]"/>
      <dgm:spPr/>
      <dgm:t>
        <a:bodyPr/>
        <a:lstStyle/>
        <a:p>
          <a:r>
            <a:rPr lang="en-US"/>
            <a:t>Trivialization</a:t>
          </a:r>
        </a:p>
      </dgm:t>
    </dgm:pt>
    <dgm:pt modelId="{948EC750-096E-4F31-9E61-913C3ECA15F8}" type="parTrans" cxnId="{CC4D4E87-E6D9-4A0C-936D-44A1D58CFFF8}">
      <dgm:prSet/>
      <dgm:spPr/>
      <dgm:t>
        <a:bodyPr/>
        <a:lstStyle/>
        <a:p>
          <a:endParaRPr lang="en-US"/>
        </a:p>
      </dgm:t>
    </dgm:pt>
    <dgm:pt modelId="{9995FE69-EE16-4E7D-9439-DCCB7DE3C31E}" type="sibTrans" cxnId="{CC4D4E87-E6D9-4A0C-936D-44A1D58CFFF8}">
      <dgm:prSet/>
      <dgm:spPr/>
      <dgm:t>
        <a:bodyPr/>
        <a:lstStyle/>
        <a:p>
          <a:endParaRPr lang="en-US"/>
        </a:p>
      </dgm:t>
    </dgm:pt>
    <dgm:pt modelId="{B9A06A39-2091-42A1-99FC-22A883532399}" type="pres">
      <dgm:prSet presAssocID="{BE9AD6B4-8DD4-45CB-82A1-875AFA6D3E46}" presName="cycle" presStyleCnt="0">
        <dgm:presLayoutVars>
          <dgm:dir/>
          <dgm:resizeHandles val="exact"/>
        </dgm:presLayoutVars>
      </dgm:prSet>
      <dgm:spPr/>
      <dgm:t>
        <a:bodyPr/>
        <a:lstStyle/>
        <a:p>
          <a:endParaRPr lang="en-US"/>
        </a:p>
      </dgm:t>
    </dgm:pt>
    <dgm:pt modelId="{CC97CFD0-0703-4956-BED1-6937C3441FBB}" type="pres">
      <dgm:prSet presAssocID="{4DE1C5D3-ABF3-47AD-8C32-CAAA838FA278}" presName="node" presStyleLbl="node1" presStyleIdx="0" presStyleCnt="4">
        <dgm:presLayoutVars>
          <dgm:bulletEnabled val="1"/>
        </dgm:presLayoutVars>
      </dgm:prSet>
      <dgm:spPr/>
      <dgm:t>
        <a:bodyPr/>
        <a:lstStyle/>
        <a:p>
          <a:endParaRPr lang="en-US"/>
        </a:p>
      </dgm:t>
    </dgm:pt>
    <dgm:pt modelId="{04BA4637-1334-4D46-A34D-F9B39962EBE1}" type="pres">
      <dgm:prSet presAssocID="{4DE1C5D3-ABF3-47AD-8C32-CAAA838FA278}" presName="spNode" presStyleCnt="0"/>
      <dgm:spPr/>
    </dgm:pt>
    <dgm:pt modelId="{A2420C2C-F42A-492C-A512-57864433602A}" type="pres">
      <dgm:prSet presAssocID="{81AA0D90-071D-4F90-BB64-6E682764C612}" presName="sibTrans" presStyleLbl="sibTrans1D1" presStyleIdx="0" presStyleCnt="4"/>
      <dgm:spPr/>
      <dgm:t>
        <a:bodyPr/>
        <a:lstStyle/>
        <a:p>
          <a:endParaRPr lang="en-US"/>
        </a:p>
      </dgm:t>
    </dgm:pt>
    <dgm:pt modelId="{69384401-BAC2-4A08-95FF-7A074E0AB08B}" type="pres">
      <dgm:prSet presAssocID="{9DFA76BE-9E21-49F2-B8C9-589BB3F84155}" presName="node" presStyleLbl="node1" presStyleIdx="1" presStyleCnt="4" custScaleX="119290">
        <dgm:presLayoutVars>
          <dgm:bulletEnabled val="1"/>
        </dgm:presLayoutVars>
      </dgm:prSet>
      <dgm:spPr/>
      <dgm:t>
        <a:bodyPr/>
        <a:lstStyle/>
        <a:p>
          <a:endParaRPr lang="en-US"/>
        </a:p>
      </dgm:t>
    </dgm:pt>
    <dgm:pt modelId="{0A8123D4-89F7-43A5-86E0-EE344B4A9869}" type="pres">
      <dgm:prSet presAssocID="{9DFA76BE-9E21-49F2-B8C9-589BB3F84155}" presName="spNode" presStyleCnt="0"/>
      <dgm:spPr/>
    </dgm:pt>
    <dgm:pt modelId="{8F4357DC-216E-4257-9CFA-2F4230DD1F20}" type="pres">
      <dgm:prSet presAssocID="{1EC0AE63-EA4B-4520-9A1D-AAC67E56D436}" presName="sibTrans" presStyleLbl="sibTrans1D1" presStyleIdx="1" presStyleCnt="4"/>
      <dgm:spPr/>
      <dgm:t>
        <a:bodyPr/>
        <a:lstStyle/>
        <a:p>
          <a:endParaRPr lang="en-US"/>
        </a:p>
      </dgm:t>
    </dgm:pt>
    <dgm:pt modelId="{B55AE698-3489-4E46-A08C-106DDAAD78DF}" type="pres">
      <dgm:prSet presAssocID="{46F5C1F0-8824-489F-8FBC-6BE8AD87D899}" presName="node" presStyleLbl="node1" presStyleIdx="2" presStyleCnt="4">
        <dgm:presLayoutVars>
          <dgm:bulletEnabled val="1"/>
        </dgm:presLayoutVars>
      </dgm:prSet>
      <dgm:spPr/>
      <dgm:t>
        <a:bodyPr/>
        <a:lstStyle/>
        <a:p>
          <a:endParaRPr lang="en-US"/>
        </a:p>
      </dgm:t>
    </dgm:pt>
    <dgm:pt modelId="{FDF6480D-4BE3-45E9-8A89-AE6536B47A81}" type="pres">
      <dgm:prSet presAssocID="{46F5C1F0-8824-489F-8FBC-6BE8AD87D899}" presName="spNode" presStyleCnt="0"/>
      <dgm:spPr/>
    </dgm:pt>
    <dgm:pt modelId="{A10638B4-CC5F-4C98-A410-0EFD4EBDFD88}" type="pres">
      <dgm:prSet presAssocID="{711196E3-B261-4462-87F1-FFFAF263658C}" presName="sibTrans" presStyleLbl="sibTrans1D1" presStyleIdx="2" presStyleCnt="4"/>
      <dgm:spPr/>
      <dgm:t>
        <a:bodyPr/>
        <a:lstStyle/>
        <a:p>
          <a:endParaRPr lang="en-US"/>
        </a:p>
      </dgm:t>
    </dgm:pt>
    <dgm:pt modelId="{71F1182C-B33D-4E31-BFF2-49D061B89FC0}" type="pres">
      <dgm:prSet presAssocID="{AFEF65E1-D7B6-49BE-A14D-F9324721299C}" presName="node" presStyleLbl="node1" presStyleIdx="3" presStyleCnt="4" custScaleX="120074">
        <dgm:presLayoutVars>
          <dgm:bulletEnabled val="1"/>
        </dgm:presLayoutVars>
      </dgm:prSet>
      <dgm:spPr/>
      <dgm:t>
        <a:bodyPr/>
        <a:lstStyle/>
        <a:p>
          <a:endParaRPr lang="en-US"/>
        </a:p>
      </dgm:t>
    </dgm:pt>
    <dgm:pt modelId="{14361E47-68A4-4157-B6EC-7D07146CBB41}" type="pres">
      <dgm:prSet presAssocID="{AFEF65E1-D7B6-49BE-A14D-F9324721299C}" presName="spNode" presStyleCnt="0"/>
      <dgm:spPr/>
    </dgm:pt>
    <dgm:pt modelId="{94EAF59C-F67A-4578-A226-F373A7CECD83}" type="pres">
      <dgm:prSet presAssocID="{9995FE69-EE16-4E7D-9439-DCCB7DE3C31E}" presName="sibTrans" presStyleLbl="sibTrans1D1" presStyleIdx="3" presStyleCnt="4"/>
      <dgm:spPr/>
      <dgm:t>
        <a:bodyPr/>
        <a:lstStyle/>
        <a:p>
          <a:endParaRPr lang="en-US"/>
        </a:p>
      </dgm:t>
    </dgm:pt>
  </dgm:ptLst>
  <dgm:cxnLst>
    <dgm:cxn modelId="{4190B84E-3DFC-4B66-B414-B7F3892B7779}" srcId="{BE9AD6B4-8DD4-45CB-82A1-875AFA6D3E46}" destId="{4DE1C5D3-ABF3-47AD-8C32-CAAA838FA278}" srcOrd="0" destOrd="0" parTransId="{43A5A679-DE84-47A6-9160-81E02998AF80}" sibTransId="{81AA0D90-071D-4F90-BB64-6E682764C612}"/>
    <dgm:cxn modelId="{971190AA-C59A-4F46-AAF6-0B9C2D3BE963}" type="presOf" srcId="{46F5C1F0-8824-489F-8FBC-6BE8AD87D899}" destId="{B55AE698-3489-4E46-A08C-106DDAAD78DF}" srcOrd="0" destOrd="0" presId="urn:microsoft.com/office/officeart/2005/8/layout/cycle6"/>
    <dgm:cxn modelId="{F475B256-BB1F-4E1B-9E39-D450512DD8B4}" type="presOf" srcId="{81AA0D90-071D-4F90-BB64-6E682764C612}" destId="{A2420C2C-F42A-492C-A512-57864433602A}" srcOrd="0" destOrd="0" presId="urn:microsoft.com/office/officeart/2005/8/layout/cycle6"/>
    <dgm:cxn modelId="{470FF546-44BE-40BD-BD06-B7505EF02650}" type="presOf" srcId="{9995FE69-EE16-4E7D-9439-DCCB7DE3C31E}" destId="{94EAF59C-F67A-4578-A226-F373A7CECD83}" srcOrd="0" destOrd="0" presId="urn:microsoft.com/office/officeart/2005/8/layout/cycle6"/>
    <dgm:cxn modelId="{8E50FE8D-EE6D-40AF-912B-2B0EC89B9C19}" type="presOf" srcId="{1EC0AE63-EA4B-4520-9A1D-AAC67E56D436}" destId="{8F4357DC-216E-4257-9CFA-2F4230DD1F20}" srcOrd="0" destOrd="0" presId="urn:microsoft.com/office/officeart/2005/8/layout/cycle6"/>
    <dgm:cxn modelId="{30E15BA3-9F7A-4831-980B-E98DD003E12E}" type="presOf" srcId="{AFEF65E1-D7B6-49BE-A14D-F9324721299C}" destId="{71F1182C-B33D-4E31-BFF2-49D061B89FC0}" srcOrd="0" destOrd="0" presId="urn:microsoft.com/office/officeart/2005/8/layout/cycle6"/>
    <dgm:cxn modelId="{DC1E08A9-8BD9-4BEA-90FF-606FC451250B}" srcId="{BE9AD6B4-8DD4-45CB-82A1-875AFA6D3E46}" destId="{9DFA76BE-9E21-49F2-B8C9-589BB3F84155}" srcOrd="1" destOrd="0" parTransId="{AF047347-3E40-40AF-A064-1F7D55C45B8B}" sibTransId="{1EC0AE63-EA4B-4520-9A1D-AAC67E56D436}"/>
    <dgm:cxn modelId="{1F10EBBA-04E7-49C1-BD80-A49B2AF374BE}" type="presOf" srcId="{4DE1C5D3-ABF3-47AD-8C32-CAAA838FA278}" destId="{CC97CFD0-0703-4956-BED1-6937C3441FBB}" srcOrd="0" destOrd="0" presId="urn:microsoft.com/office/officeart/2005/8/layout/cycle6"/>
    <dgm:cxn modelId="{E83A02BB-5E56-4529-890A-7A4DAA77AC68}" type="presOf" srcId="{711196E3-B261-4462-87F1-FFFAF263658C}" destId="{A10638B4-CC5F-4C98-A410-0EFD4EBDFD88}" srcOrd="0" destOrd="0" presId="urn:microsoft.com/office/officeart/2005/8/layout/cycle6"/>
    <dgm:cxn modelId="{6ECF91F2-60E0-4630-9F7E-690A110A4815}" type="presOf" srcId="{9DFA76BE-9E21-49F2-B8C9-589BB3F84155}" destId="{69384401-BAC2-4A08-95FF-7A074E0AB08B}" srcOrd="0" destOrd="0" presId="urn:microsoft.com/office/officeart/2005/8/layout/cycle6"/>
    <dgm:cxn modelId="{CC4D4E87-E6D9-4A0C-936D-44A1D58CFFF8}" srcId="{BE9AD6B4-8DD4-45CB-82A1-875AFA6D3E46}" destId="{AFEF65E1-D7B6-49BE-A14D-F9324721299C}" srcOrd="3" destOrd="0" parTransId="{948EC750-096E-4F31-9E61-913C3ECA15F8}" sibTransId="{9995FE69-EE16-4E7D-9439-DCCB7DE3C31E}"/>
    <dgm:cxn modelId="{EDD76603-C748-4C47-9C09-77ED00F73346}" type="presOf" srcId="{BE9AD6B4-8DD4-45CB-82A1-875AFA6D3E46}" destId="{B9A06A39-2091-42A1-99FC-22A883532399}" srcOrd="0" destOrd="0" presId="urn:microsoft.com/office/officeart/2005/8/layout/cycle6"/>
    <dgm:cxn modelId="{FB9C9E0D-C83D-4823-ABAE-BB900FF4248A}" srcId="{BE9AD6B4-8DD4-45CB-82A1-875AFA6D3E46}" destId="{46F5C1F0-8824-489F-8FBC-6BE8AD87D899}" srcOrd="2" destOrd="0" parTransId="{67508D2D-923C-4F37-A25A-26A4DA4552FB}" sibTransId="{711196E3-B261-4462-87F1-FFFAF263658C}"/>
    <dgm:cxn modelId="{384CA571-6837-4C46-A3E4-2A537D62646D}" type="presParOf" srcId="{B9A06A39-2091-42A1-99FC-22A883532399}" destId="{CC97CFD0-0703-4956-BED1-6937C3441FBB}" srcOrd="0" destOrd="0" presId="urn:microsoft.com/office/officeart/2005/8/layout/cycle6"/>
    <dgm:cxn modelId="{16BF59AD-0206-4520-A364-C18DF3475561}" type="presParOf" srcId="{B9A06A39-2091-42A1-99FC-22A883532399}" destId="{04BA4637-1334-4D46-A34D-F9B39962EBE1}" srcOrd="1" destOrd="0" presId="urn:microsoft.com/office/officeart/2005/8/layout/cycle6"/>
    <dgm:cxn modelId="{CDE3F8DF-F83A-405A-A092-F93AE8B89DE7}" type="presParOf" srcId="{B9A06A39-2091-42A1-99FC-22A883532399}" destId="{A2420C2C-F42A-492C-A512-57864433602A}" srcOrd="2" destOrd="0" presId="urn:microsoft.com/office/officeart/2005/8/layout/cycle6"/>
    <dgm:cxn modelId="{5837751A-9C9E-4259-9E2F-096BC73A46D3}" type="presParOf" srcId="{B9A06A39-2091-42A1-99FC-22A883532399}" destId="{69384401-BAC2-4A08-95FF-7A074E0AB08B}" srcOrd="3" destOrd="0" presId="urn:microsoft.com/office/officeart/2005/8/layout/cycle6"/>
    <dgm:cxn modelId="{A2D783EE-6779-4C09-81E8-F67CE1EC0EE1}" type="presParOf" srcId="{B9A06A39-2091-42A1-99FC-22A883532399}" destId="{0A8123D4-89F7-43A5-86E0-EE344B4A9869}" srcOrd="4" destOrd="0" presId="urn:microsoft.com/office/officeart/2005/8/layout/cycle6"/>
    <dgm:cxn modelId="{296F8868-5063-4EB3-9D7F-431A42DC7668}" type="presParOf" srcId="{B9A06A39-2091-42A1-99FC-22A883532399}" destId="{8F4357DC-216E-4257-9CFA-2F4230DD1F20}" srcOrd="5" destOrd="0" presId="urn:microsoft.com/office/officeart/2005/8/layout/cycle6"/>
    <dgm:cxn modelId="{9ADD7621-E817-4797-9215-36BFD5FA80B8}" type="presParOf" srcId="{B9A06A39-2091-42A1-99FC-22A883532399}" destId="{B55AE698-3489-4E46-A08C-106DDAAD78DF}" srcOrd="6" destOrd="0" presId="urn:microsoft.com/office/officeart/2005/8/layout/cycle6"/>
    <dgm:cxn modelId="{39202034-5C57-4785-B8E9-080B8383C966}" type="presParOf" srcId="{B9A06A39-2091-42A1-99FC-22A883532399}" destId="{FDF6480D-4BE3-45E9-8A89-AE6536B47A81}" srcOrd="7" destOrd="0" presId="urn:microsoft.com/office/officeart/2005/8/layout/cycle6"/>
    <dgm:cxn modelId="{FF34C376-5402-4427-A28F-19FC35604E08}" type="presParOf" srcId="{B9A06A39-2091-42A1-99FC-22A883532399}" destId="{A10638B4-CC5F-4C98-A410-0EFD4EBDFD88}" srcOrd="8" destOrd="0" presId="urn:microsoft.com/office/officeart/2005/8/layout/cycle6"/>
    <dgm:cxn modelId="{D004CF73-379B-4BE9-82F7-CB88F95CD3E5}" type="presParOf" srcId="{B9A06A39-2091-42A1-99FC-22A883532399}" destId="{71F1182C-B33D-4E31-BFF2-49D061B89FC0}" srcOrd="9" destOrd="0" presId="urn:microsoft.com/office/officeart/2005/8/layout/cycle6"/>
    <dgm:cxn modelId="{F1F91949-BF2D-4F70-8D82-F7217B412656}" type="presParOf" srcId="{B9A06A39-2091-42A1-99FC-22A883532399}" destId="{14361E47-68A4-4157-B6EC-7D07146CBB41}" srcOrd="10" destOrd="0" presId="urn:microsoft.com/office/officeart/2005/8/layout/cycle6"/>
    <dgm:cxn modelId="{2078ACF9-3A7A-425A-8ED0-D2A14880E214}" type="presParOf" srcId="{B9A06A39-2091-42A1-99FC-22A883532399}" destId="{94EAF59C-F67A-4578-A226-F373A7CECD83}" srcOrd="11" destOrd="0" presId="urn:microsoft.com/office/officeart/2005/8/layout/cycle6"/>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46CFBA6-40E3-46A3-91AE-DADBA4F6C454}">
      <dsp:nvSpPr>
        <dsp:cNvPr id="0" name=""/>
        <dsp:cNvSpPr/>
      </dsp:nvSpPr>
      <dsp:spPr>
        <a:xfrm>
          <a:off x="1070" y="0"/>
          <a:ext cx="2283414" cy="4608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solidFill>
                <a:sysClr val="windowText" lastClr="000000"/>
              </a:solidFill>
            </a:rPr>
            <a:t>Trivialized Nature</a:t>
          </a:r>
        </a:p>
      </dsp:txBody>
      <dsp:txXfrm>
        <a:off x="1070" y="0"/>
        <a:ext cx="2283414" cy="460858"/>
      </dsp:txXfrm>
    </dsp:sp>
    <dsp:sp modelId="{05A68C2F-C79E-4B71-AC84-E73E0C2BA566}">
      <dsp:nvSpPr>
        <dsp:cNvPr id="0" name=""/>
        <dsp:cNvSpPr/>
      </dsp:nvSpPr>
      <dsp:spPr>
        <a:xfrm>
          <a:off x="2358936" y="0"/>
          <a:ext cx="791864" cy="460858"/>
        </a:xfrm>
        <a:prstGeom prst="leftRightArrow">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2358936" y="0"/>
        <a:ext cx="791864" cy="460858"/>
      </dsp:txXfrm>
    </dsp:sp>
    <dsp:sp modelId="{0315C4F1-8EF3-47A9-A7D5-BD7ECD8745DC}">
      <dsp:nvSpPr>
        <dsp:cNvPr id="0" name=""/>
        <dsp:cNvSpPr/>
      </dsp:nvSpPr>
      <dsp:spPr>
        <a:xfrm>
          <a:off x="3197850" y="0"/>
          <a:ext cx="2283414" cy="4608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solidFill>
                <a:sysClr val="windowText" lastClr="000000"/>
              </a:solidFill>
            </a:rPr>
            <a:t>Nuptial Mystery</a:t>
          </a:r>
        </a:p>
      </dsp:txBody>
      <dsp:txXfrm>
        <a:off x="3197850" y="0"/>
        <a:ext cx="2283414" cy="46085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C97CFD0-0703-4956-BED1-6937C3441FBB}">
      <dsp:nvSpPr>
        <dsp:cNvPr id="0" name=""/>
        <dsp:cNvSpPr/>
      </dsp:nvSpPr>
      <dsp:spPr>
        <a:xfrm>
          <a:off x="2246876" y="532"/>
          <a:ext cx="996553" cy="64775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Nature</a:t>
          </a:r>
        </a:p>
      </dsp:txBody>
      <dsp:txXfrm>
        <a:off x="2246876" y="532"/>
        <a:ext cx="996553" cy="647759"/>
      </dsp:txXfrm>
    </dsp:sp>
    <dsp:sp modelId="{A2420C2C-F42A-492C-A512-57864433602A}">
      <dsp:nvSpPr>
        <dsp:cNvPr id="0" name=""/>
        <dsp:cNvSpPr/>
      </dsp:nvSpPr>
      <dsp:spPr>
        <a:xfrm>
          <a:off x="1676019" y="324412"/>
          <a:ext cx="2138267" cy="2138267"/>
        </a:xfrm>
        <a:custGeom>
          <a:avLst/>
          <a:gdLst/>
          <a:ahLst/>
          <a:cxnLst/>
          <a:rect l="0" t="0" r="0" b="0"/>
          <a:pathLst>
            <a:path>
              <a:moveTo>
                <a:pt x="1574572" y="127019"/>
              </a:moveTo>
              <a:arcTo wR="1069133" hR="1069133" stAng="17892799" swAng="2623074"/>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9384401-BAC2-4A08-95FF-7A074E0AB08B}">
      <dsp:nvSpPr>
        <dsp:cNvPr id="0" name=""/>
        <dsp:cNvSpPr/>
      </dsp:nvSpPr>
      <dsp:spPr>
        <a:xfrm>
          <a:off x="3219892" y="1069666"/>
          <a:ext cx="1188788" cy="64775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Mystery</a:t>
          </a:r>
        </a:p>
      </dsp:txBody>
      <dsp:txXfrm>
        <a:off x="3219892" y="1069666"/>
        <a:ext cx="1188788" cy="647759"/>
      </dsp:txXfrm>
    </dsp:sp>
    <dsp:sp modelId="{8F4357DC-216E-4257-9CFA-2F4230DD1F20}">
      <dsp:nvSpPr>
        <dsp:cNvPr id="0" name=""/>
        <dsp:cNvSpPr/>
      </dsp:nvSpPr>
      <dsp:spPr>
        <a:xfrm>
          <a:off x="1676019" y="324412"/>
          <a:ext cx="2138267" cy="2138267"/>
        </a:xfrm>
        <a:custGeom>
          <a:avLst/>
          <a:gdLst/>
          <a:ahLst/>
          <a:cxnLst/>
          <a:rect l="0" t="0" r="0" b="0"/>
          <a:pathLst>
            <a:path>
              <a:moveTo>
                <a:pt x="2085543" y="1400734"/>
              </a:moveTo>
              <a:arcTo wR="1069133" hR="1069133" stAng="1084127" swAng="2623074"/>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55AE698-3489-4E46-A08C-106DDAAD78DF}">
      <dsp:nvSpPr>
        <dsp:cNvPr id="0" name=""/>
        <dsp:cNvSpPr/>
      </dsp:nvSpPr>
      <dsp:spPr>
        <a:xfrm>
          <a:off x="2246876" y="2138799"/>
          <a:ext cx="996553" cy="64775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Mystification</a:t>
          </a:r>
        </a:p>
      </dsp:txBody>
      <dsp:txXfrm>
        <a:off x="2246876" y="2138799"/>
        <a:ext cx="996553" cy="647759"/>
      </dsp:txXfrm>
    </dsp:sp>
    <dsp:sp modelId="{A10638B4-CC5F-4C98-A410-0EFD4EBDFD88}">
      <dsp:nvSpPr>
        <dsp:cNvPr id="0" name=""/>
        <dsp:cNvSpPr/>
      </dsp:nvSpPr>
      <dsp:spPr>
        <a:xfrm>
          <a:off x="1676019" y="324412"/>
          <a:ext cx="2138267" cy="2138267"/>
        </a:xfrm>
        <a:custGeom>
          <a:avLst/>
          <a:gdLst/>
          <a:ahLst/>
          <a:cxnLst/>
          <a:rect l="0" t="0" r="0" b="0"/>
          <a:pathLst>
            <a:path>
              <a:moveTo>
                <a:pt x="563694" y="2011247"/>
              </a:moveTo>
              <a:arcTo wR="1069133" hR="1069133" stAng="7092799" swAng="2623074"/>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1F1182C-B33D-4E31-BFF2-49D061B89FC0}">
      <dsp:nvSpPr>
        <dsp:cNvPr id="0" name=""/>
        <dsp:cNvSpPr/>
      </dsp:nvSpPr>
      <dsp:spPr>
        <a:xfrm>
          <a:off x="1077718" y="1069666"/>
          <a:ext cx="1196601" cy="64775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Trivialization</a:t>
          </a:r>
        </a:p>
      </dsp:txBody>
      <dsp:txXfrm>
        <a:off x="1077718" y="1069666"/>
        <a:ext cx="1196601" cy="647759"/>
      </dsp:txXfrm>
    </dsp:sp>
    <dsp:sp modelId="{94EAF59C-F67A-4578-A226-F373A7CECD83}">
      <dsp:nvSpPr>
        <dsp:cNvPr id="0" name=""/>
        <dsp:cNvSpPr/>
      </dsp:nvSpPr>
      <dsp:spPr>
        <a:xfrm>
          <a:off x="1676019" y="324412"/>
          <a:ext cx="2138267" cy="2138267"/>
        </a:xfrm>
        <a:custGeom>
          <a:avLst/>
          <a:gdLst/>
          <a:ahLst/>
          <a:cxnLst/>
          <a:rect l="0" t="0" r="0" b="0"/>
          <a:pathLst>
            <a:path>
              <a:moveTo>
                <a:pt x="52724" y="737532"/>
              </a:moveTo>
              <a:arcTo wR="1069133" hR="1069133" stAng="11884127" swAng="2623074"/>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74E5874-6CB5-4084-ADBF-148F8DA3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10977</TotalTime>
  <Pages>65</Pages>
  <Words>25756</Words>
  <Characters>146812</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jim</cp:lastModifiedBy>
  <cp:revision>1246</cp:revision>
  <dcterms:created xsi:type="dcterms:W3CDTF">2012-01-29T19:51:00Z</dcterms:created>
  <dcterms:modified xsi:type="dcterms:W3CDTF">2015-10-29T02:45:00Z</dcterms:modified>
</cp:coreProperties>
</file>